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E8A" w14:textId="2FD23B2D" w:rsidR="00222163" w:rsidRPr="00C4795A" w:rsidRDefault="000E39B0" w:rsidP="000E39B0">
      <w:pPr>
        <w:spacing w:after="0" w:line="240" w:lineRule="auto"/>
        <w:jc w:val="center"/>
        <w:rPr>
          <w:rFonts w:ascii="Times New Roman" w:hAnsi="Times New Roman" w:cs="Times New Roman"/>
          <w:b/>
          <w:bCs/>
          <w:sz w:val="24"/>
          <w:szCs w:val="24"/>
        </w:rPr>
      </w:pPr>
      <w:r w:rsidRPr="00C4795A">
        <w:rPr>
          <w:rFonts w:ascii="Times New Roman" w:hAnsi="Times New Roman" w:cs="Times New Roman"/>
          <w:b/>
          <w:bCs/>
          <w:sz w:val="24"/>
          <w:szCs w:val="24"/>
        </w:rPr>
        <w:t>Tutela unionale e garanzia costituzionale dei diritti nel dialogo fra Corti</w:t>
      </w:r>
      <w:r w:rsidRPr="00C4795A">
        <w:rPr>
          <w:rStyle w:val="Rimandonotaapidipagina"/>
          <w:rFonts w:ascii="Times New Roman" w:hAnsi="Times New Roman" w:cs="Times New Roman"/>
          <w:b/>
          <w:bCs/>
          <w:sz w:val="24"/>
          <w:szCs w:val="24"/>
        </w:rPr>
        <w:footnoteReference w:id="1"/>
      </w:r>
    </w:p>
    <w:p w14:paraId="0F0BDE95" w14:textId="7C3AEF62" w:rsidR="00222163" w:rsidRPr="00C4795A" w:rsidRDefault="000E39B0" w:rsidP="000E39B0">
      <w:pPr>
        <w:spacing w:after="0" w:line="240" w:lineRule="auto"/>
        <w:jc w:val="center"/>
        <w:rPr>
          <w:rFonts w:ascii="Times New Roman" w:hAnsi="Times New Roman" w:cs="Times New Roman"/>
          <w:sz w:val="24"/>
          <w:szCs w:val="24"/>
        </w:rPr>
      </w:pPr>
      <w:r w:rsidRPr="00C4795A">
        <w:rPr>
          <w:rFonts w:ascii="Times New Roman" w:hAnsi="Times New Roman" w:cs="Times New Roman"/>
          <w:sz w:val="24"/>
          <w:szCs w:val="24"/>
        </w:rPr>
        <w:t xml:space="preserve">di </w:t>
      </w:r>
      <w:r w:rsidR="00222163" w:rsidRPr="00C4795A">
        <w:rPr>
          <w:rFonts w:ascii="Times New Roman" w:hAnsi="Times New Roman" w:cs="Times New Roman"/>
          <w:sz w:val="24"/>
          <w:szCs w:val="24"/>
        </w:rPr>
        <w:t>Gino Scaccia</w:t>
      </w:r>
    </w:p>
    <w:p w14:paraId="593F4A0D" w14:textId="77777777" w:rsidR="000E39B0" w:rsidRPr="00C4795A" w:rsidRDefault="000E39B0" w:rsidP="000E39B0">
      <w:pPr>
        <w:spacing w:after="0" w:line="240" w:lineRule="auto"/>
        <w:jc w:val="center"/>
        <w:rPr>
          <w:rFonts w:ascii="Times New Roman" w:hAnsi="Times New Roman" w:cs="Times New Roman"/>
          <w:sz w:val="24"/>
          <w:szCs w:val="24"/>
        </w:rPr>
      </w:pPr>
    </w:p>
    <w:p w14:paraId="5566A151" w14:textId="37F04110" w:rsidR="00222163" w:rsidRPr="00C4795A" w:rsidRDefault="000016C5" w:rsidP="00222163">
      <w:pPr>
        <w:jc w:val="both"/>
        <w:rPr>
          <w:rFonts w:ascii="Times New Roman" w:hAnsi="Times New Roman" w:cs="Times New Roman"/>
          <w:i/>
          <w:iCs/>
        </w:rPr>
      </w:pPr>
      <w:r w:rsidRPr="00C4795A">
        <w:rPr>
          <w:rFonts w:ascii="Times New Roman" w:hAnsi="Times New Roman" w:cs="Times New Roman"/>
        </w:rPr>
        <w:t xml:space="preserve">Sommario: </w:t>
      </w:r>
      <w:r w:rsidR="00222163" w:rsidRPr="00C4795A">
        <w:rPr>
          <w:rFonts w:ascii="Times New Roman" w:hAnsi="Times New Roman" w:cs="Times New Roman"/>
          <w:i/>
          <w:iCs/>
        </w:rPr>
        <w:t xml:space="preserve">I. Prologo: le ragioni di diritto costituzionale sostanziale che motivano il ripensamento della ‘regola </w:t>
      </w:r>
      <w:proofErr w:type="spellStart"/>
      <w:r w:rsidR="00222163" w:rsidRPr="00C4795A">
        <w:rPr>
          <w:rFonts w:ascii="Times New Roman" w:hAnsi="Times New Roman" w:cs="Times New Roman"/>
          <w:i/>
          <w:iCs/>
        </w:rPr>
        <w:t>Granital</w:t>
      </w:r>
      <w:proofErr w:type="spellEnd"/>
      <w:r w:rsidR="00222163" w:rsidRPr="00C4795A">
        <w:rPr>
          <w:rFonts w:ascii="Times New Roman" w:hAnsi="Times New Roman" w:cs="Times New Roman"/>
          <w:i/>
          <w:iCs/>
        </w:rPr>
        <w:t xml:space="preserve">’. II. La regola 181 e l’alternatività dei rimedi della disapplicazione </w:t>
      </w:r>
      <w:proofErr w:type="gramStart"/>
      <w:r w:rsidR="00222163" w:rsidRPr="00C4795A">
        <w:rPr>
          <w:rFonts w:ascii="Times New Roman" w:hAnsi="Times New Roman" w:cs="Times New Roman"/>
        </w:rPr>
        <w:t>inter partes</w:t>
      </w:r>
      <w:proofErr w:type="gramEnd"/>
      <w:r w:rsidR="00222163" w:rsidRPr="00C4795A">
        <w:rPr>
          <w:rFonts w:ascii="Times New Roman" w:hAnsi="Times New Roman" w:cs="Times New Roman"/>
          <w:i/>
          <w:iCs/>
        </w:rPr>
        <w:t xml:space="preserve"> e del sindacato costituzionale: scenari e problemi applicativi. III. Le soluzioni prospettate. IV. La simultaneità dei rimedi</w:t>
      </w:r>
      <w:r w:rsidR="00CA72A4" w:rsidRPr="00C4795A">
        <w:rPr>
          <w:rFonts w:ascii="Times New Roman" w:hAnsi="Times New Roman" w:cs="Times New Roman"/>
          <w:i/>
          <w:iCs/>
        </w:rPr>
        <w:t>: spunti di riflessione.</w:t>
      </w:r>
    </w:p>
    <w:p w14:paraId="5D477A30" w14:textId="77777777" w:rsidR="00222163" w:rsidRPr="00C4795A" w:rsidRDefault="00222163" w:rsidP="00222163">
      <w:pPr>
        <w:jc w:val="both"/>
        <w:rPr>
          <w:rFonts w:ascii="Times New Roman" w:hAnsi="Times New Roman" w:cs="Times New Roman"/>
          <w:sz w:val="25"/>
          <w:szCs w:val="25"/>
        </w:rPr>
      </w:pPr>
    </w:p>
    <w:p w14:paraId="1A277482" w14:textId="77777777" w:rsidR="00222163" w:rsidRPr="00C4795A" w:rsidRDefault="00222163" w:rsidP="000E39B0">
      <w:pPr>
        <w:pStyle w:val="Paragrafoelenco"/>
        <w:numPr>
          <w:ilvl w:val="0"/>
          <w:numId w:val="1"/>
        </w:numPr>
        <w:ind w:left="0" w:firstLine="0"/>
        <w:jc w:val="both"/>
        <w:rPr>
          <w:rFonts w:ascii="Times New Roman" w:hAnsi="Times New Roman" w:cs="Times New Roman"/>
          <w:b/>
          <w:bCs/>
          <w:i/>
          <w:iCs/>
          <w:sz w:val="25"/>
          <w:szCs w:val="25"/>
        </w:rPr>
      </w:pPr>
      <w:r w:rsidRPr="00C4795A">
        <w:rPr>
          <w:rFonts w:ascii="Times New Roman" w:hAnsi="Times New Roman" w:cs="Times New Roman"/>
          <w:b/>
          <w:bCs/>
          <w:i/>
          <w:iCs/>
          <w:sz w:val="25"/>
          <w:szCs w:val="25"/>
        </w:rPr>
        <w:t xml:space="preserve">Prologo. Le ragioni di diritto costituzionale sostanziale che motivano il ripensamento della ‘regola </w:t>
      </w:r>
      <w:proofErr w:type="spellStart"/>
      <w:r w:rsidRPr="00C4795A">
        <w:rPr>
          <w:rFonts w:ascii="Times New Roman" w:hAnsi="Times New Roman" w:cs="Times New Roman"/>
          <w:b/>
          <w:bCs/>
          <w:i/>
          <w:iCs/>
          <w:sz w:val="25"/>
          <w:szCs w:val="25"/>
        </w:rPr>
        <w:t>Granital</w:t>
      </w:r>
      <w:proofErr w:type="spellEnd"/>
      <w:r w:rsidRPr="00C4795A">
        <w:rPr>
          <w:rFonts w:ascii="Times New Roman" w:hAnsi="Times New Roman" w:cs="Times New Roman"/>
          <w:b/>
          <w:bCs/>
          <w:i/>
          <w:iCs/>
          <w:sz w:val="25"/>
          <w:szCs w:val="25"/>
        </w:rPr>
        <w:t>’</w:t>
      </w:r>
    </w:p>
    <w:p w14:paraId="249E2850" w14:textId="77777777" w:rsidR="00FF3EEB" w:rsidRPr="00C4795A" w:rsidRDefault="00FF3EEB" w:rsidP="000E39B0">
      <w:pPr>
        <w:pStyle w:val="Paragrafoelenco"/>
        <w:ind w:left="0"/>
        <w:jc w:val="both"/>
        <w:rPr>
          <w:rFonts w:ascii="Times New Roman" w:hAnsi="Times New Roman" w:cs="Times New Roman"/>
          <w:sz w:val="25"/>
          <w:szCs w:val="25"/>
        </w:rPr>
      </w:pPr>
    </w:p>
    <w:p w14:paraId="627D596E" w14:textId="5C060829"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Secondo la definizione che ne offre l</w:t>
      </w:r>
      <w:r w:rsidR="00DE0983" w:rsidRPr="00C4795A">
        <w:rPr>
          <w:rFonts w:ascii="Times New Roman" w:hAnsi="Times New Roman" w:cs="Times New Roman"/>
          <w:sz w:val="25"/>
          <w:szCs w:val="25"/>
        </w:rPr>
        <w:t>’Enciclopedia Treccani</w:t>
      </w:r>
      <w:r w:rsidR="00BC64C5" w:rsidRPr="00C4795A">
        <w:rPr>
          <w:rFonts w:ascii="Times New Roman" w:hAnsi="Times New Roman" w:cs="Times New Roman"/>
          <w:sz w:val="25"/>
          <w:szCs w:val="25"/>
        </w:rPr>
        <w:t>,</w:t>
      </w:r>
      <w:r w:rsidRPr="00C4795A">
        <w:rPr>
          <w:rFonts w:ascii="Times New Roman" w:hAnsi="Times New Roman" w:cs="Times New Roman"/>
          <w:sz w:val="25"/>
          <w:szCs w:val="25"/>
        </w:rPr>
        <w:t xml:space="preserve"> un paradosso è un</w:t>
      </w:r>
      <w:r w:rsidR="00DE0983" w:rsidRPr="00C4795A">
        <w:rPr>
          <w:rFonts w:ascii="Times New Roman" w:hAnsi="Times New Roman" w:cs="Times New Roman"/>
          <w:sz w:val="25"/>
          <w:szCs w:val="25"/>
        </w:rPr>
        <w:t>a «</w:t>
      </w:r>
      <w:r w:rsidRPr="00C4795A">
        <w:rPr>
          <w:rFonts w:ascii="Times New Roman" w:hAnsi="Times New Roman" w:cs="Times New Roman"/>
          <w:sz w:val="25"/>
          <w:szCs w:val="25"/>
        </w:rPr>
        <w:t>affermazione, proposizione, tesi, opinione che, per il suo contenuto o per la forma in cui è espressa, appare contraria all’opinione comune o alla verosimiglianza e riesce perciò sorprendente o incredibile</w:t>
      </w:r>
      <w:r w:rsidR="00DE0983" w:rsidRPr="00C4795A">
        <w:rPr>
          <w:rFonts w:ascii="Times New Roman" w:hAnsi="Times New Roman" w:cs="Times New Roman"/>
          <w:sz w:val="25"/>
          <w:szCs w:val="25"/>
        </w:rPr>
        <w:t>»</w:t>
      </w:r>
      <w:r w:rsidR="00DE0983" w:rsidRPr="00C4795A">
        <w:rPr>
          <w:rStyle w:val="Rimandonotaapidipagina"/>
          <w:rFonts w:ascii="Times New Roman" w:hAnsi="Times New Roman" w:cs="Times New Roman"/>
          <w:sz w:val="25"/>
          <w:szCs w:val="25"/>
        </w:rPr>
        <w:footnoteReference w:id="2"/>
      </w:r>
      <w:r w:rsidR="00DE0983" w:rsidRPr="00C4795A">
        <w:rPr>
          <w:rFonts w:ascii="Times New Roman" w:hAnsi="Times New Roman" w:cs="Times New Roman"/>
          <w:sz w:val="25"/>
          <w:szCs w:val="25"/>
        </w:rPr>
        <w:t xml:space="preserve">. </w:t>
      </w:r>
      <w:r w:rsidR="000E39B0" w:rsidRPr="00C4795A">
        <w:rPr>
          <w:rFonts w:ascii="Times New Roman" w:hAnsi="Times New Roman" w:cs="Times New Roman"/>
          <w:sz w:val="25"/>
          <w:szCs w:val="25"/>
        </w:rPr>
        <w:t>Il</w:t>
      </w:r>
      <w:r w:rsidRPr="00C4795A">
        <w:rPr>
          <w:rFonts w:ascii="Times New Roman" w:hAnsi="Times New Roman" w:cs="Times New Roman"/>
          <w:sz w:val="25"/>
          <w:szCs w:val="25"/>
        </w:rPr>
        <w:t xml:space="preserve"> paradosso o il caso estremo </w:t>
      </w:r>
      <w:r w:rsidR="000E39B0" w:rsidRPr="00C4795A">
        <w:rPr>
          <w:rFonts w:ascii="Times New Roman" w:hAnsi="Times New Roman" w:cs="Times New Roman"/>
          <w:sz w:val="25"/>
          <w:szCs w:val="25"/>
        </w:rPr>
        <w:t>e</w:t>
      </w:r>
      <w:r w:rsidRPr="00C4795A">
        <w:rPr>
          <w:rFonts w:ascii="Times New Roman" w:hAnsi="Times New Roman" w:cs="Times New Roman"/>
          <w:sz w:val="25"/>
          <w:szCs w:val="25"/>
        </w:rPr>
        <w:t xml:space="preserve"> di scuola, che nel campo del diritto trova forma nell’argomento apagogico o per assurdo, è capace di disvelare con immediatezza e nitore assoluto la complessiva tenuta di una costruzione teorica, manifestandone in un lampo l’essenza più profonda. </w:t>
      </w:r>
    </w:p>
    <w:p w14:paraId="7DDCBF07" w14:textId="0F94A696"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Prendo perciò le mosse da un esercizio intellettuale ascrivibile alla categoria dell’argomentazione apagogica, immaginando che tutte le previsioni costituzionali sui diritti della persona trovino nel diritto dell’U</w:t>
      </w:r>
      <w:r w:rsidR="00126F92" w:rsidRPr="00C4795A">
        <w:rPr>
          <w:rFonts w:ascii="Times New Roman" w:hAnsi="Times New Roman" w:cs="Times New Roman"/>
          <w:sz w:val="25"/>
          <w:szCs w:val="25"/>
        </w:rPr>
        <w:t>nione europea</w:t>
      </w:r>
      <w:r w:rsidRPr="00C4795A">
        <w:rPr>
          <w:rFonts w:ascii="Times New Roman" w:hAnsi="Times New Roman" w:cs="Times New Roman"/>
          <w:sz w:val="25"/>
          <w:szCs w:val="25"/>
        </w:rPr>
        <w:t xml:space="preserve"> una formulazione gemella, assolutamente identica. E muovo anche dall’assunto che la Corte di giustizia, con indirizzo consolidato, proclami la diretta efficacia nei rapporti orizzontali di tutte le norme che compongono, unitariamente considerate, il </w:t>
      </w:r>
      <w:r w:rsidRPr="00C4795A">
        <w:rPr>
          <w:rFonts w:ascii="Times New Roman" w:hAnsi="Times New Roman" w:cs="Times New Roman"/>
          <w:i/>
          <w:iCs/>
          <w:sz w:val="25"/>
          <w:szCs w:val="25"/>
        </w:rPr>
        <w:t xml:space="preserve">Bill of </w:t>
      </w:r>
      <w:proofErr w:type="spellStart"/>
      <w:r w:rsidRPr="00C4795A">
        <w:rPr>
          <w:rFonts w:ascii="Times New Roman" w:hAnsi="Times New Roman" w:cs="Times New Roman"/>
          <w:i/>
          <w:iCs/>
          <w:sz w:val="25"/>
          <w:szCs w:val="25"/>
        </w:rPr>
        <w:t>Rights</w:t>
      </w:r>
      <w:proofErr w:type="spellEnd"/>
      <w:r w:rsidRPr="00C4795A">
        <w:rPr>
          <w:rFonts w:ascii="Times New Roman" w:hAnsi="Times New Roman" w:cs="Times New Roman"/>
          <w:sz w:val="25"/>
          <w:szCs w:val="25"/>
        </w:rPr>
        <w:t xml:space="preserve"> unionale. Ebbene: in caso di diretta efficacia del </w:t>
      </w:r>
      <w:r w:rsidRPr="00C4795A">
        <w:rPr>
          <w:rFonts w:ascii="Times New Roman" w:hAnsi="Times New Roman" w:cs="Times New Roman"/>
          <w:i/>
          <w:iCs/>
          <w:sz w:val="25"/>
          <w:szCs w:val="25"/>
        </w:rPr>
        <w:t xml:space="preserve">Bill of </w:t>
      </w:r>
      <w:proofErr w:type="spellStart"/>
      <w:r w:rsidRPr="00C4795A">
        <w:rPr>
          <w:rFonts w:ascii="Times New Roman" w:hAnsi="Times New Roman" w:cs="Times New Roman"/>
          <w:i/>
          <w:iCs/>
          <w:sz w:val="25"/>
          <w:szCs w:val="25"/>
        </w:rPr>
        <w:t>Rights</w:t>
      </w:r>
      <w:proofErr w:type="spellEnd"/>
      <w:r w:rsidRPr="00C4795A">
        <w:rPr>
          <w:rFonts w:ascii="Times New Roman" w:hAnsi="Times New Roman" w:cs="Times New Roman"/>
          <w:sz w:val="25"/>
          <w:szCs w:val="25"/>
        </w:rPr>
        <w:t xml:space="preserve"> dell’Unione e di piena identità testuale di questo con le norme costituzionali, si potrebbe fare a meno della Costituzione e della Corte costituzionale, consegnando tutta intera la tutela dei diritti fondamentali ai giudici comuni e alle Corti sovranazionali? </w:t>
      </w:r>
    </w:p>
    <w:p w14:paraId="1899693B" w14:textId="48D05490"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 xml:space="preserve">La mia risposta è un secco </w:t>
      </w:r>
      <w:r w:rsidR="008A04B4" w:rsidRPr="00C4795A">
        <w:rPr>
          <w:rFonts w:ascii="Times New Roman" w:hAnsi="Times New Roman" w:cs="Times New Roman"/>
          <w:sz w:val="25"/>
          <w:szCs w:val="25"/>
        </w:rPr>
        <w:t>‘</w:t>
      </w:r>
      <w:r w:rsidRPr="00C4795A">
        <w:rPr>
          <w:rFonts w:ascii="Times New Roman" w:hAnsi="Times New Roman" w:cs="Times New Roman"/>
          <w:sz w:val="25"/>
          <w:szCs w:val="25"/>
        </w:rPr>
        <w:t>no</w:t>
      </w:r>
      <w:r w:rsidR="008A04B4" w:rsidRPr="00C4795A">
        <w:rPr>
          <w:rFonts w:ascii="Times New Roman" w:hAnsi="Times New Roman" w:cs="Times New Roman"/>
          <w:sz w:val="25"/>
          <w:szCs w:val="25"/>
        </w:rPr>
        <w:t>’</w:t>
      </w:r>
      <w:r w:rsidRPr="00C4795A">
        <w:rPr>
          <w:rFonts w:ascii="Times New Roman" w:hAnsi="Times New Roman" w:cs="Times New Roman"/>
          <w:sz w:val="25"/>
          <w:szCs w:val="25"/>
        </w:rPr>
        <w:t>, come ho avuto occasione di argomentare più distesamente in altri scritti, perché il problema non è di quantità o di estensione della tutela soggettiva, ma di qualità della tutela sistemica dei diritti</w:t>
      </w:r>
      <w:r w:rsidRPr="00C4795A">
        <w:rPr>
          <w:rStyle w:val="Rimandonotaapidipagina"/>
          <w:rFonts w:ascii="Times New Roman" w:hAnsi="Times New Roman" w:cs="Times New Roman"/>
          <w:sz w:val="25"/>
          <w:szCs w:val="25"/>
        </w:rPr>
        <w:footnoteReference w:id="3"/>
      </w:r>
      <w:r w:rsidRPr="00C4795A">
        <w:rPr>
          <w:rFonts w:ascii="Times New Roman" w:hAnsi="Times New Roman" w:cs="Times New Roman"/>
          <w:sz w:val="25"/>
          <w:szCs w:val="25"/>
        </w:rPr>
        <w:t xml:space="preserve">. E quella prevista dalla Costituzione è una forma di tutela che riconosce al processo politico una funzione cruciale e insostituibile di svolgimento, attuazione e predisposizione delle condizioni di effettività dei diritti, e affida alla Corte costituzionale il potere di intervenire in senso correttivo sulla politica e sul legislatore per proteggere il contenuto essenziale dei diritti e per imporne alla politica il riconoscimento quando il </w:t>
      </w:r>
      <w:proofErr w:type="spellStart"/>
      <w:r w:rsidRPr="00C4795A">
        <w:rPr>
          <w:rFonts w:ascii="Times New Roman" w:hAnsi="Times New Roman" w:cs="Times New Roman"/>
          <w:i/>
          <w:iCs/>
          <w:sz w:val="25"/>
          <w:szCs w:val="25"/>
        </w:rPr>
        <w:t>Wesensgehalt</w:t>
      </w:r>
      <w:proofErr w:type="spellEnd"/>
      <w:r w:rsidRPr="00C4795A">
        <w:rPr>
          <w:rFonts w:ascii="Times New Roman" w:hAnsi="Times New Roman" w:cs="Times New Roman"/>
          <w:sz w:val="25"/>
          <w:szCs w:val="25"/>
        </w:rPr>
        <w:t xml:space="preserve"> non sia sufficientemente garantito</w:t>
      </w:r>
      <w:r w:rsidR="008E3EE7" w:rsidRPr="00C4795A">
        <w:rPr>
          <w:rStyle w:val="Rimandonotaapidipagina"/>
          <w:rFonts w:ascii="Times New Roman" w:hAnsi="Times New Roman" w:cs="Times New Roman"/>
          <w:sz w:val="25"/>
          <w:szCs w:val="25"/>
        </w:rPr>
        <w:footnoteReference w:id="4"/>
      </w:r>
      <w:r w:rsidRPr="00C4795A">
        <w:rPr>
          <w:rFonts w:ascii="Times New Roman" w:hAnsi="Times New Roman" w:cs="Times New Roman"/>
          <w:sz w:val="25"/>
          <w:szCs w:val="25"/>
        </w:rPr>
        <w:t xml:space="preserve">. </w:t>
      </w:r>
    </w:p>
    <w:p w14:paraId="5066AF4F" w14:textId="7AEE2EDC"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 xml:space="preserve">Per evitare sia l’integrale soggezione al principio di maggioranza, sia il divorzio dai circuiti della democrazia politica, i diritti fondamentali vivono nella costante tensione dialettica tra </w:t>
      </w:r>
      <w:r w:rsidRPr="00C4795A">
        <w:rPr>
          <w:rFonts w:ascii="Times New Roman" w:hAnsi="Times New Roman" w:cs="Times New Roman"/>
          <w:sz w:val="25"/>
          <w:szCs w:val="25"/>
        </w:rPr>
        <w:lastRenderedPageBreak/>
        <w:t xml:space="preserve">legalizzazione e </w:t>
      </w:r>
      <w:proofErr w:type="spellStart"/>
      <w:r w:rsidRPr="00C4795A">
        <w:rPr>
          <w:rFonts w:ascii="Times New Roman" w:hAnsi="Times New Roman" w:cs="Times New Roman"/>
          <w:sz w:val="25"/>
          <w:szCs w:val="25"/>
        </w:rPr>
        <w:t>giurisdizionalizzazione</w:t>
      </w:r>
      <w:proofErr w:type="spellEnd"/>
      <w:r w:rsidRPr="00C4795A">
        <w:rPr>
          <w:rStyle w:val="Rimandonotaapidipagina"/>
          <w:rFonts w:ascii="Times New Roman" w:hAnsi="Times New Roman" w:cs="Times New Roman"/>
          <w:sz w:val="25"/>
          <w:szCs w:val="25"/>
        </w:rPr>
        <w:footnoteReference w:id="5"/>
      </w:r>
      <w:r w:rsidRPr="00C4795A">
        <w:rPr>
          <w:rFonts w:ascii="Times New Roman" w:hAnsi="Times New Roman" w:cs="Times New Roman"/>
          <w:sz w:val="25"/>
          <w:szCs w:val="25"/>
        </w:rPr>
        <w:t xml:space="preserve"> e il sindacato accentrato è chiamato a preservarne la </w:t>
      </w:r>
      <w:r w:rsidRPr="00C4795A">
        <w:rPr>
          <w:rFonts w:ascii="Times New Roman" w:hAnsi="Times New Roman" w:cs="Times New Roman"/>
          <w:i/>
          <w:iCs/>
          <w:sz w:val="25"/>
          <w:szCs w:val="25"/>
        </w:rPr>
        <w:t>politicità</w:t>
      </w:r>
      <w:r w:rsidRPr="00C4795A">
        <w:rPr>
          <w:rFonts w:ascii="Times New Roman" w:hAnsi="Times New Roman" w:cs="Times New Roman"/>
          <w:sz w:val="25"/>
          <w:szCs w:val="25"/>
        </w:rPr>
        <w:t>, intesa questa come attitudine a disporsi al bilanciamento con interessi sociali che impediscono ai diritti di porsi come pretese solipsistiche dell’</w:t>
      </w:r>
      <w:r w:rsidRPr="00C4795A">
        <w:rPr>
          <w:rFonts w:ascii="Times New Roman" w:hAnsi="Times New Roman" w:cs="Times New Roman"/>
          <w:i/>
          <w:iCs/>
          <w:sz w:val="25"/>
          <w:szCs w:val="25"/>
        </w:rPr>
        <w:t>individuo</w:t>
      </w:r>
      <w:r w:rsidRPr="00C4795A">
        <w:rPr>
          <w:rFonts w:ascii="Times New Roman" w:hAnsi="Times New Roman" w:cs="Times New Roman"/>
          <w:sz w:val="25"/>
          <w:szCs w:val="25"/>
        </w:rPr>
        <w:t xml:space="preserve"> e li plasmano invece come diritti della </w:t>
      </w:r>
      <w:r w:rsidRPr="00C4795A">
        <w:rPr>
          <w:rFonts w:ascii="Times New Roman" w:hAnsi="Times New Roman" w:cs="Times New Roman"/>
          <w:i/>
          <w:iCs/>
          <w:sz w:val="25"/>
          <w:szCs w:val="25"/>
        </w:rPr>
        <w:t>persona</w:t>
      </w:r>
      <w:r w:rsidRPr="00C4795A">
        <w:rPr>
          <w:rFonts w:ascii="Times New Roman" w:hAnsi="Times New Roman" w:cs="Times New Roman"/>
          <w:sz w:val="25"/>
          <w:szCs w:val="25"/>
        </w:rPr>
        <w:t>, collocata in una dimensione comunitaria e avvinta alla comunità politica da vincoli solidaristici</w:t>
      </w:r>
      <w:r w:rsidRPr="00C4795A">
        <w:rPr>
          <w:rStyle w:val="Rimandonotaapidipagina"/>
          <w:rFonts w:ascii="Times New Roman" w:hAnsi="Times New Roman" w:cs="Times New Roman"/>
          <w:sz w:val="25"/>
          <w:szCs w:val="25"/>
        </w:rPr>
        <w:footnoteReference w:id="6"/>
      </w:r>
      <w:r w:rsidRPr="00C4795A">
        <w:rPr>
          <w:rFonts w:ascii="Times New Roman" w:hAnsi="Times New Roman" w:cs="Times New Roman"/>
          <w:sz w:val="25"/>
          <w:szCs w:val="25"/>
        </w:rPr>
        <w:t xml:space="preserve">. Di qui la conclusione ineluttabile: nella logica della Costituzione, non è possibile affidare interamente alla giurisdizione la funzione di conformazione e sviluppo dei diritti fondamentali, neppure se si tratti di una giurisdizione sovranazionale che produce un diritto prevalente su quello interno, al quale siamo vincolati per obbligo costituzionale. </w:t>
      </w:r>
    </w:p>
    <w:p w14:paraId="0E60505B" w14:textId="7F81EA6F"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 xml:space="preserve">Mi pare questo il punto cruciale, di diritto costituzionale sostanziale, di tutta la vicenda processuale sulla quale siamo chiamati a una comune riflessione. Non è in gioco qui la sequenza logica e cronologica nella quale disporre i pronunciamenti di Corti in egual misura </w:t>
      </w:r>
      <w:proofErr w:type="spellStart"/>
      <w:r w:rsidRPr="00C4795A">
        <w:rPr>
          <w:rFonts w:ascii="Times New Roman" w:hAnsi="Times New Roman" w:cs="Times New Roman"/>
          <w:i/>
          <w:iCs/>
          <w:sz w:val="25"/>
          <w:szCs w:val="25"/>
        </w:rPr>
        <w:t>superiorem</w:t>
      </w:r>
      <w:proofErr w:type="spellEnd"/>
      <w:r w:rsidRPr="00C4795A">
        <w:rPr>
          <w:rFonts w:ascii="Times New Roman" w:hAnsi="Times New Roman" w:cs="Times New Roman"/>
          <w:i/>
          <w:iCs/>
          <w:sz w:val="25"/>
          <w:szCs w:val="25"/>
        </w:rPr>
        <w:t xml:space="preserve"> non </w:t>
      </w:r>
      <w:proofErr w:type="spellStart"/>
      <w:r w:rsidRPr="00C4795A">
        <w:rPr>
          <w:rFonts w:ascii="Times New Roman" w:hAnsi="Times New Roman" w:cs="Times New Roman"/>
          <w:i/>
          <w:iCs/>
          <w:sz w:val="25"/>
          <w:szCs w:val="25"/>
        </w:rPr>
        <w:t>recognoscentes</w:t>
      </w:r>
      <w:proofErr w:type="spellEnd"/>
      <w:r w:rsidRPr="00C4795A">
        <w:rPr>
          <w:rFonts w:ascii="Times New Roman" w:hAnsi="Times New Roman" w:cs="Times New Roman"/>
          <w:sz w:val="25"/>
          <w:szCs w:val="25"/>
        </w:rPr>
        <w:t xml:space="preserve">; né si tratta di limitarsi a ordinare un sistema integrato di fonti armonizzando il modello monista della Corte di giustizia al dualismo della Corte </w:t>
      </w:r>
      <w:r w:rsidR="006807E0" w:rsidRPr="00C4795A">
        <w:rPr>
          <w:rFonts w:ascii="Times New Roman" w:hAnsi="Times New Roman" w:cs="Times New Roman"/>
          <w:sz w:val="25"/>
          <w:szCs w:val="25"/>
        </w:rPr>
        <w:t>costituz</w:t>
      </w:r>
      <w:r w:rsidRPr="00C4795A">
        <w:rPr>
          <w:rFonts w:ascii="Times New Roman" w:hAnsi="Times New Roman" w:cs="Times New Roman"/>
          <w:sz w:val="25"/>
          <w:szCs w:val="25"/>
        </w:rPr>
        <w:t xml:space="preserve">ionale (come era stato </w:t>
      </w:r>
      <w:r w:rsidR="00976036" w:rsidRPr="00C4795A">
        <w:rPr>
          <w:rFonts w:ascii="Times New Roman" w:hAnsi="Times New Roman" w:cs="Times New Roman"/>
          <w:sz w:val="25"/>
          <w:szCs w:val="25"/>
        </w:rPr>
        <w:t xml:space="preserve">nella sentenza </w:t>
      </w:r>
      <w:proofErr w:type="spellStart"/>
      <w:r w:rsidRPr="00C4795A">
        <w:rPr>
          <w:rFonts w:ascii="Times New Roman" w:hAnsi="Times New Roman" w:cs="Times New Roman"/>
          <w:sz w:val="25"/>
          <w:szCs w:val="25"/>
        </w:rPr>
        <w:t>Granital</w:t>
      </w:r>
      <w:proofErr w:type="spellEnd"/>
      <w:r w:rsidRPr="00C4795A">
        <w:rPr>
          <w:rFonts w:ascii="Times New Roman" w:hAnsi="Times New Roman" w:cs="Times New Roman"/>
          <w:sz w:val="25"/>
          <w:szCs w:val="25"/>
        </w:rPr>
        <w:t>)</w:t>
      </w:r>
      <w:r w:rsidRPr="00C4795A">
        <w:rPr>
          <w:rStyle w:val="Rimandonotaapidipagina"/>
          <w:rFonts w:ascii="Times New Roman" w:hAnsi="Times New Roman" w:cs="Times New Roman"/>
          <w:sz w:val="25"/>
          <w:szCs w:val="25"/>
        </w:rPr>
        <w:footnoteReference w:id="7"/>
      </w:r>
      <w:r w:rsidRPr="00C4795A">
        <w:rPr>
          <w:rFonts w:ascii="Times New Roman" w:hAnsi="Times New Roman" w:cs="Times New Roman"/>
          <w:sz w:val="25"/>
          <w:szCs w:val="25"/>
        </w:rPr>
        <w:t>. Si tratta</w:t>
      </w:r>
      <w:r w:rsidR="00976036" w:rsidRPr="00C4795A">
        <w:rPr>
          <w:rFonts w:ascii="Times New Roman" w:hAnsi="Times New Roman" w:cs="Times New Roman"/>
          <w:sz w:val="25"/>
          <w:szCs w:val="25"/>
        </w:rPr>
        <w:t>,</w:t>
      </w:r>
      <w:r w:rsidRPr="00C4795A">
        <w:rPr>
          <w:rFonts w:ascii="Times New Roman" w:hAnsi="Times New Roman" w:cs="Times New Roman"/>
          <w:sz w:val="25"/>
          <w:szCs w:val="25"/>
        </w:rPr>
        <w:t xml:space="preserve"> invece, di accordare diverse e non sempre conciliabili ricostruzioni teoriche circa la struttura </w:t>
      </w:r>
      <w:proofErr w:type="spellStart"/>
      <w:r w:rsidRPr="00C4795A">
        <w:rPr>
          <w:rFonts w:ascii="Times New Roman" w:hAnsi="Times New Roman" w:cs="Times New Roman"/>
          <w:sz w:val="25"/>
          <w:szCs w:val="25"/>
        </w:rPr>
        <w:t>nomologica</w:t>
      </w:r>
      <w:proofErr w:type="spellEnd"/>
      <w:r w:rsidRPr="00C4795A">
        <w:rPr>
          <w:rFonts w:ascii="Times New Roman" w:hAnsi="Times New Roman" w:cs="Times New Roman"/>
          <w:sz w:val="25"/>
          <w:szCs w:val="25"/>
        </w:rPr>
        <w:t xml:space="preserve"> delle prescrizioni enuncianti diritti fondamentali (sono norme principio da ponderare o sono regole </w:t>
      </w:r>
      <w:proofErr w:type="spellStart"/>
      <w:r w:rsidRPr="00C4795A">
        <w:rPr>
          <w:rFonts w:ascii="Times New Roman" w:hAnsi="Times New Roman" w:cs="Times New Roman"/>
          <w:sz w:val="25"/>
          <w:szCs w:val="25"/>
        </w:rPr>
        <w:t>autoapplicative</w:t>
      </w:r>
      <w:proofErr w:type="spellEnd"/>
      <w:r w:rsidRPr="00C4795A">
        <w:rPr>
          <w:rFonts w:ascii="Times New Roman" w:hAnsi="Times New Roman" w:cs="Times New Roman"/>
          <w:sz w:val="25"/>
          <w:szCs w:val="25"/>
        </w:rPr>
        <w:t>?)</w:t>
      </w:r>
      <w:r w:rsidRPr="00C4795A">
        <w:rPr>
          <w:rStyle w:val="Rimandonotaapidipagina"/>
          <w:rFonts w:ascii="Times New Roman" w:hAnsi="Times New Roman" w:cs="Times New Roman"/>
          <w:sz w:val="25"/>
          <w:szCs w:val="25"/>
        </w:rPr>
        <w:footnoteReference w:id="8"/>
      </w:r>
      <w:r w:rsidRPr="00C4795A">
        <w:rPr>
          <w:rFonts w:ascii="Times New Roman" w:hAnsi="Times New Roman" w:cs="Times New Roman"/>
          <w:sz w:val="25"/>
          <w:szCs w:val="25"/>
        </w:rPr>
        <w:t xml:space="preserve">; diversi e non sempre sovrapponibili metodi di bilanciamento. </w:t>
      </w:r>
    </w:p>
    <w:p w14:paraId="1FF760B1" w14:textId="7DBB12C6"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 xml:space="preserve">Con una qualche accentuazione di </w:t>
      </w:r>
      <w:r w:rsidRPr="00C4795A">
        <w:rPr>
          <w:rFonts w:ascii="Times New Roman" w:hAnsi="Times New Roman" w:cs="Times New Roman"/>
          <w:i/>
          <w:iCs/>
          <w:sz w:val="25"/>
          <w:szCs w:val="25"/>
        </w:rPr>
        <w:t>pathos</w:t>
      </w:r>
      <w:r w:rsidRPr="00C4795A">
        <w:rPr>
          <w:rFonts w:ascii="Times New Roman" w:hAnsi="Times New Roman" w:cs="Times New Roman"/>
          <w:sz w:val="25"/>
          <w:szCs w:val="25"/>
        </w:rPr>
        <w:t>, ma senza allontanarci dal vero, si può affermare che è in gioco il modo stesso di concettualizzare la Costituzione come Carta dei diritti e il sindacato accentrato come presidio infungibile per garantire l’equilibrio necessario fra dimensione individuale-soggettiva e dimensione solidaristica e comunitaria dei diritti</w:t>
      </w:r>
      <w:r w:rsidRPr="00C4795A">
        <w:rPr>
          <w:rStyle w:val="Rimandonotaapidipagina"/>
          <w:rFonts w:ascii="Times New Roman" w:hAnsi="Times New Roman" w:cs="Times New Roman"/>
          <w:sz w:val="25"/>
          <w:szCs w:val="25"/>
        </w:rPr>
        <w:footnoteReference w:id="9"/>
      </w:r>
      <w:r w:rsidRPr="00C4795A">
        <w:rPr>
          <w:rFonts w:ascii="Times New Roman" w:hAnsi="Times New Roman" w:cs="Times New Roman"/>
          <w:sz w:val="25"/>
          <w:szCs w:val="25"/>
        </w:rPr>
        <w:t xml:space="preserve">. Il che equivale, in </w:t>
      </w:r>
      <w:r w:rsidRPr="00C4795A">
        <w:rPr>
          <w:rFonts w:ascii="Times New Roman" w:hAnsi="Times New Roman" w:cs="Times New Roman"/>
          <w:sz w:val="25"/>
          <w:szCs w:val="25"/>
        </w:rPr>
        <w:lastRenderedPageBreak/>
        <w:t xml:space="preserve">fondo, a dire che è in gioco l’estensione stessa della materia costituzionale presidiata dal sindacato accentrato della Corte, se è vero che i diritti inviolabili e la tutela ad essi accordata formano </w:t>
      </w:r>
      <w:r w:rsidR="005F48C2" w:rsidRPr="00C4795A">
        <w:rPr>
          <w:rFonts w:ascii="Times New Roman" w:hAnsi="Times New Roman" w:cs="Times New Roman"/>
          <w:sz w:val="25"/>
          <w:szCs w:val="25"/>
        </w:rPr>
        <w:t>un</w:t>
      </w:r>
      <w:r w:rsidRPr="00C4795A">
        <w:rPr>
          <w:rFonts w:ascii="Times New Roman" w:hAnsi="Times New Roman" w:cs="Times New Roman"/>
          <w:sz w:val="25"/>
          <w:szCs w:val="25"/>
        </w:rPr>
        <w:t xml:space="preserve"> </w:t>
      </w:r>
      <w:r w:rsidR="005F48C2" w:rsidRPr="00C4795A">
        <w:rPr>
          <w:rFonts w:ascii="Times New Roman" w:hAnsi="Times New Roman" w:cs="Times New Roman"/>
          <w:sz w:val="25"/>
          <w:szCs w:val="25"/>
        </w:rPr>
        <w:t xml:space="preserve">imprescindibile </w:t>
      </w:r>
      <w:r w:rsidRPr="00C4795A">
        <w:rPr>
          <w:rFonts w:ascii="Times New Roman" w:hAnsi="Times New Roman" w:cs="Times New Roman"/>
          <w:sz w:val="25"/>
          <w:szCs w:val="25"/>
        </w:rPr>
        <w:t>contenuto materiale delle Costituzioni modernamente intese.</w:t>
      </w:r>
    </w:p>
    <w:p w14:paraId="70453187" w14:textId="1A43A051"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In questa cornice teorica va inserito il lungo e accidentato percorso giurisprudenziale che muove</w:t>
      </w:r>
      <w:r w:rsidR="000E39B0" w:rsidRPr="00C4795A">
        <w:rPr>
          <w:rFonts w:ascii="Times New Roman" w:hAnsi="Times New Roman" w:cs="Times New Roman"/>
          <w:sz w:val="25"/>
          <w:szCs w:val="25"/>
        </w:rPr>
        <w:t xml:space="preserve"> </w:t>
      </w:r>
      <w:r w:rsidRPr="00C4795A">
        <w:rPr>
          <w:rFonts w:ascii="Times New Roman" w:hAnsi="Times New Roman" w:cs="Times New Roman"/>
          <w:sz w:val="25"/>
          <w:szCs w:val="25"/>
        </w:rPr>
        <w:t xml:space="preserve">dalla sentenza </w:t>
      </w:r>
      <w:proofErr w:type="spellStart"/>
      <w:r w:rsidR="003A25FC" w:rsidRPr="00C4795A">
        <w:rPr>
          <w:rFonts w:ascii="Times New Roman" w:hAnsi="Times New Roman" w:cs="Times New Roman"/>
          <w:sz w:val="25"/>
          <w:szCs w:val="25"/>
        </w:rPr>
        <w:t>Granital</w:t>
      </w:r>
      <w:proofErr w:type="spellEnd"/>
      <w:r w:rsidR="003A25FC" w:rsidRPr="00C4795A">
        <w:rPr>
          <w:rFonts w:ascii="Times New Roman" w:hAnsi="Times New Roman" w:cs="Times New Roman"/>
          <w:sz w:val="25"/>
          <w:szCs w:val="25"/>
        </w:rPr>
        <w:t xml:space="preserve"> n. 170 </w:t>
      </w:r>
      <w:r w:rsidRPr="00C4795A">
        <w:rPr>
          <w:rFonts w:ascii="Times New Roman" w:hAnsi="Times New Roman" w:cs="Times New Roman"/>
          <w:sz w:val="25"/>
          <w:szCs w:val="25"/>
        </w:rPr>
        <w:t>del 1984, passa per il tornante della sentenza n. 269 del 2017</w:t>
      </w:r>
      <w:r w:rsidR="00A56C47" w:rsidRPr="00C4795A">
        <w:rPr>
          <w:rStyle w:val="Rimandonotaapidipagina"/>
          <w:rFonts w:ascii="Times New Roman" w:hAnsi="Times New Roman" w:cs="Times New Roman"/>
          <w:sz w:val="25"/>
          <w:szCs w:val="25"/>
        </w:rPr>
        <w:footnoteReference w:id="10"/>
      </w:r>
      <w:r w:rsidRPr="00C4795A">
        <w:rPr>
          <w:rFonts w:ascii="Times New Roman" w:hAnsi="Times New Roman" w:cs="Times New Roman"/>
          <w:sz w:val="25"/>
          <w:szCs w:val="25"/>
        </w:rPr>
        <w:t xml:space="preserve"> e giunge alla regola posta nella sentenza n. 181 del 2024, che </w:t>
      </w:r>
      <w:proofErr w:type="spellStart"/>
      <w:r w:rsidRPr="00C4795A">
        <w:rPr>
          <w:rFonts w:ascii="Times New Roman" w:hAnsi="Times New Roman" w:cs="Times New Roman"/>
          <w:sz w:val="25"/>
          <w:szCs w:val="25"/>
        </w:rPr>
        <w:t>Granital</w:t>
      </w:r>
      <w:proofErr w:type="spellEnd"/>
      <w:r w:rsidRPr="00C4795A">
        <w:rPr>
          <w:rFonts w:ascii="Times New Roman" w:hAnsi="Times New Roman" w:cs="Times New Roman"/>
          <w:sz w:val="25"/>
          <w:szCs w:val="25"/>
        </w:rPr>
        <w:t xml:space="preserve"> sembra aver superato, se non del tutto “obliato”. </w:t>
      </w:r>
    </w:p>
    <w:p w14:paraId="2BC7D489" w14:textId="0CE4447C" w:rsidR="00FF3EEB" w:rsidRPr="00C4795A" w:rsidRDefault="00FF3EEB" w:rsidP="000E39B0">
      <w:pPr>
        <w:pStyle w:val="Paragrafoelenco"/>
        <w:ind w:left="0"/>
        <w:jc w:val="both"/>
        <w:rPr>
          <w:rFonts w:ascii="Times New Roman" w:hAnsi="Times New Roman" w:cs="Times New Roman"/>
          <w:sz w:val="25"/>
          <w:szCs w:val="25"/>
          <w:shd w:val="clear" w:color="auto" w:fill="FFFFFF"/>
        </w:rPr>
      </w:pPr>
      <w:r w:rsidRPr="00C4795A">
        <w:rPr>
          <w:rFonts w:ascii="Times New Roman" w:hAnsi="Times New Roman" w:cs="Times New Roman"/>
          <w:sz w:val="25"/>
          <w:szCs w:val="25"/>
        </w:rPr>
        <w:t xml:space="preserve">Della sentenza </w:t>
      </w:r>
      <w:r w:rsidR="00836373" w:rsidRPr="00C4795A">
        <w:rPr>
          <w:rFonts w:ascii="Times New Roman" w:hAnsi="Times New Roman" w:cs="Times New Roman"/>
          <w:sz w:val="25"/>
          <w:szCs w:val="25"/>
        </w:rPr>
        <w:t xml:space="preserve">del 1984 </w:t>
      </w:r>
      <w:r w:rsidRPr="00C4795A">
        <w:rPr>
          <w:rFonts w:ascii="Times New Roman" w:hAnsi="Times New Roman" w:cs="Times New Roman"/>
          <w:sz w:val="25"/>
          <w:szCs w:val="25"/>
        </w:rPr>
        <w:t>ogni sintagma è stato scandagliato e ogni respiro è stato auscultato con tutti gli strumenti interpretativi propri del diritto pubblico ed europeo. Non mi avventuro</w:t>
      </w:r>
      <w:r w:rsidR="00836373" w:rsidRPr="00C4795A">
        <w:rPr>
          <w:rFonts w:ascii="Times New Roman" w:hAnsi="Times New Roman" w:cs="Times New Roman"/>
          <w:sz w:val="25"/>
          <w:szCs w:val="25"/>
        </w:rPr>
        <w:t>,</w:t>
      </w:r>
      <w:r w:rsidRPr="00C4795A">
        <w:rPr>
          <w:rFonts w:ascii="Times New Roman" w:hAnsi="Times New Roman" w:cs="Times New Roman"/>
          <w:sz w:val="25"/>
          <w:szCs w:val="25"/>
        </w:rPr>
        <w:t xml:space="preserve"> dunque</w:t>
      </w:r>
      <w:r w:rsidR="00836373" w:rsidRPr="00C4795A">
        <w:rPr>
          <w:rFonts w:ascii="Times New Roman" w:hAnsi="Times New Roman" w:cs="Times New Roman"/>
          <w:sz w:val="25"/>
          <w:szCs w:val="25"/>
        </w:rPr>
        <w:t>,</w:t>
      </w:r>
      <w:r w:rsidRPr="00C4795A">
        <w:rPr>
          <w:rFonts w:ascii="Times New Roman" w:hAnsi="Times New Roman" w:cs="Times New Roman"/>
          <w:sz w:val="25"/>
          <w:szCs w:val="25"/>
        </w:rPr>
        <w:t xml:space="preserve"> nell’ennesima lettura interpretativa di ciò che in quella capitale pronuncia è stato scritto. Vorrei, invece, inquadrarla nella logica privatistica dell’accordo, del “patto” che veniva con essa siglato tra Corte costituzionale e Corte di giustizia e analizzarla, dunque, alla luce di un istituto caratteristico del diritto civile: la presupposizione. Si tratta, come noto, di quelle circostanze </w:t>
      </w:r>
      <w:r w:rsidRPr="00C4795A">
        <w:rPr>
          <w:rFonts w:ascii="Times New Roman" w:hAnsi="Times New Roman" w:cs="Times New Roman"/>
          <w:sz w:val="25"/>
          <w:szCs w:val="25"/>
          <w:shd w:val="clear" w:color="auto" w:fill="FFFFFF"/>
        </w:rPr>
        <w:t>esterne, non esplicitamente menzionate nel contratto, ma che le parti considerano un </w:t>
      </w:r>
      <w:r w:rsidRPr="00C4795A">
        <w:rPr>
          <w:rStyle w:val="Enfasigrassetto"/>
          <w:rFonts w:ascii="Times New Roman" w:hAnsi="Times New Roman" w:cs="Times New Roman"/>
          <w:b w:val="0"/>
          <w:bCs w:val="0"/>
          <w:sz w:val="25"/>
          <w:szCs w:val="25"/>
          <w:shd w:val="clear" w:color="auto" w:fill="FFFFFF"/>
        </w:rPr>
        <w:t>presupposto</w:t>
      </w:r>
      <w:r w:rsidRPr="00C4795A">
        <w:rPr>
          <w:rStyle w:val="Enfasigrassetto"/>
          <w:rFonts w:ascii="Times New Roman" w:hAnsi="Times New Roman" w:cs="Times New Roman"/>
          <w:sz w:val="25"/>
          <w:szCs w:val="25"/>
          <w:shd w:val="clear" w:color="auto" w:fill="FFFFFF"/>
        </w:rPr>
        <w:t xml:space="preserve"> </w:t>
      </w:r>
      <w:r w:rsidRPr="00C4795A">
        <w:rPr>
          <w:rFonts w:ascii="Times New Roman" w:hAnsi="Times New Roman" w:cs="Times New Roman"/>
          <w:sz w:val="25"/>
          <w:szCs w:val="25"/>
          <w:shd w:val="clear" w:color="auto" w:fill="FFFFFF"/>
        </w:rPr>
        <w:t xml:space="preserve">essenziale per la validità e l’efficacia dell'accordo. Qual è la presupposizione sottostante al ‘patto </w:t>
      </w:r>
      <w:proofErr w:type="spellStart"/>
      <w:r w:rsidRPr="00C4795A">
        <w:rPr>
          <w:rFonts w:ascii="Times New Roman" w:hAnsi="Times New Roman" w:cs="Times New Roman"/>
          <w:sz w:val="25"/>
          <w:szCs w:val="25"/>
          <w:shd w:val="clear" w:color="auto" w:fill="FFFFFF"/>
        </w:rPr>
        <w:t>Granital</w:t>
      </w:r>
      <w:proofErr w:type="spellEnd"/>
      <w:r w:rsidRPr="00C4795A">
        <w:rPr>
          <w:rFonts w:ascii="Times New Roman" w:hAnsi="Times New Roman" w:cs="Times New Roman"/>
          <w:sz w:val="25"/>
          <w:szCs w:val="25"/>
          <w:shd w:val="clear" w:color="auto" w:fill="FFFFFF"/>
        </w:rPr>
        <w:t xml:space="preserve">’? </w:t>
      </w:r>
    </w:p>
    <w:p w14:paraId="7DEE8506" w14:textId="55276433"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shd w:val="clear" w:color="auto" w:fill="FFFFFF"/>
        </w:rPr>
        <w:t xml:space="preserve">A mio parere, </w:t>
      </w:r>
      <w:r w:rsidRPr="00C4795A">
        <w:rPr>
          <w:rFonts w:ascii="Times New Roman" w:hAnsi="Times New Roman" w:cs="Times New Roman"/>
          <w:sz w:val="25"/>
          <w:szCs w:val="25"/>
        </w:rPr>
        <w:t xml:space="preserve">la Corte costituzionale, mentre lasciava interamente al giudice ordinario la cognizione delle incompatibilità comunitarie, riservandosi il controllo del diritto unionale </w:t>
      </w:r>
      <w:r w:rsidR="007A6EAA" w:rsidRPr="00C4795A">
        <w:rPr>
          <w:rFonts w:ascii="Times New Roman" w:hAnsi="Times New Roman" w:cs="Times New Roman"/>
          <w:sz w:val="25"/>
          <w:szCs w:val="25"/>
        </w:rPr>
        <w:t>in riferimento al parametro de</w:t>
      </w:r>
      <w:r w:rsidRPr="00C4795A">
        <w:rPr>
          <w:rFonts w:ascii="Times New Roman" w:hAnsi="Times New Roman" w:cs="Times New Roman"/>
          <w:sz w:val="25"/>
          <w:szCs w:val="25"/>
        </w:rPr>
        <w:t xml:space="preserve">i diritti inviolabili, muoveva dal presupposto che </w:t>
      </w:r>
      <w:r w:rsidR="00175933" w:rsidRPr="00C4795A">
        <w:rPr>
          <w:rFonts w:ascii="Times New Roman" w:hAnsi="Times New Roman" w:cs="Times New Roman"/>
          <w:sz w:val="25"/>
          <w:szCs w:val="25"/>
        </w:rPr>
        <w:t xml:space="preserve">la disciplina europea </w:t>
      </w:r>
      <w:r w:rsidRPr="00C4795A">
        <w:rPr>
          <w:rFonts w:ascii="Times New Roman" w:hAnsi="Times New Roman" w:cs="Times New Roman"/>
          <w:sz w:val="25"/>
          <w:szCs w:val="25"/>
        </w:rPr>
        <w:t xml:space="preserve">potesse utilmente esercitare </w:t>
      </w:r>
      <w:r w:rsidR="006940DB" w:rsidRPr="00C4795A">
        <w:rPr>
          <w:rFonts w:ascii="Times New Roman" w:hAnsi="Times New Roman" w:cs="Times New Roman"/>
          <w:sz w:val="25"/>
          <w:szCs w:val="25"/>
        </w:rPr>
        <w:t xml:space="preserve">una </w:t>
      </w:r>
      <w:r w:rsidRPr="00C4795A">
        <w:rPr>
          <w:rFonts w:ascii="Times New Roman" w:hAnsi="Times New Roman" w:cs="Times New Roman"/>
          <w:sz w:val="25"/>
          <w:szCs w:val="25"/>
        </w:rPr>
        <w:t xml:space="preserve">forza conformativa sul diritto interno senza richiedere il previo </w:t>
      </w:r>
      <w:r w:rsidR="00DE0ECC" w:rsidRPr="00C4795A">
        <w:rPr>
          <w:rFonts w:ascii="Times New Roman" w:hAnsi="Times New Roman" w:cs="Times New Roman"/>
          <w:sz w:val="25"/>
          <w:szCs w:val="25"/>
        </w:rPr>
        <w:t xml:space="preserve">filtro </w:t>
      </w:r>
      <w:r w:rsidR="00987BFC" w:rsidRPr="00C4795A">
        <w:rPr>
          <w:rFonts w:ascii="Times New Roman" w:hAnsi="Times New Roman" w:cs="Times New Roman"/>
          <w:sz w:val="25"/>
          <w:szCs w:val="25"/>
        </w:rPr>
        <w:t xml:space="preserve">costituzionale </w:t>
      </w:r>
      <w:r w:rsidR="00BB54A7" w:rsidRPr="00C4795A">
        <w:rPr>
          <w:rFonts w:ascii="Times New Roman" w:hAnsi="Times New Roman" w:cs="Times New Roman"/>
          <w:sz w:val="25"/>
          <w:szCs w:val="25"/>
        </w:rPr>
        <w:t>(</w:t>
      </w:r>
      <w:r w:rsidR="001F1C7C" w:rsidRPr="00C4795A">
        <w:rPr>
          <w:rFonts w:ascii="Times New Roman" w:hAnsi="Times New Roman" w:cs="Times New Roman"/>
          <w:sz w:val="25"/>
          <w:szCs w:val="25"/>
        </w:rPr>
        <w:t xml:space="preserve">concettualizzato nella </w:t>
      </w:r>
      <w:r w:rsidR="00BB54A7" w:rsidRPr="00C4795A">
        <w:rPr>
          <w:rFonts w:ascii="Times New Roman" w:hAnsi="Times New Roman" w:cs="Times New Roman"/>
          <w:sz w:val="25"/>
          <w:szCs w:val="25"/>
        </w:rPr>
        <w:t xml:space="preserve">sentenza n. 232 del 1975) </w:t>
      </w:r>
      <w:r w:rsidRPr="00C4795A">
        <w:rPr>
          <w:rFonts w:ascii="Times New Roman" w:hAnsi="Times New Roman" w:cs="Times New Roman"/>
          <w:sz w:val="25"/>
          <w:szCs w:val="25"/>
        </w:rPr>
        <w:t>perché si estendeva soltanto sulle libertà del mercato e, quindi, incideva sulle previsioni della Carta a più debole portata prescrittiva</w:t>
      </w:r>
      <w:r w:rsidR="00B2695B" w:rsidRPr="00C4795A">
        <w:rPr>
          <w:rFonts w:ascii="Times New Roman" w:hAnsi="Times New Roman" w:cs="Times New Roman"/>
          <w:sz w:val="25"/>
          <w:szCs w:val="25"/>
        </w:rPr>
        <w:t>.</w:t>
      </w:r>
      <w:r w:rsidR="00B555B0" w:rsidRPr="00C4795A">
        <w:rPr>
          <w:rFonts w:ascii="Times New Roman" w:hAnsi="Times New Roman" w:cs="Times New Roman"/>
          <w:sz w:val="25"/>
          <w:szCs w:val="25"/>
        </w:rPr>
        <w:t xml:space="preserve"> Interse</w:t>
      </w:r>
      <w:r w:rsidR="00B2695B" w:rsidRPr="00C4795A">
        <w:rPr>
          <w:rFonts w:ascii="Times New Roman" w:hAnsi="Times New Roman" w:cs="Times New Roman"/>
          <w:sz w:val="25"/>
          <w:szCs w:val="25"/>
        </w:rPr>
        <w:t>cava</w:t>
      </w:r>
      <w:r w:rsidRPr="00C4795A">
        <w:rPr>
          <w:rFonts w:ascii="Times New Roman" w:hAnsi="Times New Roman" w:cs="Times New Roman"/>
          <w:sz w:val="25"/>
          <w:szCs w:val="25"/>
        </w:rPr>
        <w:t xml:space="preserve"> la parte economica della Costituzione, ove, per comune riconoscimento, l’accordo tra le grandi culture politiche della Costituente (cattolica, liberale, socialista) aveva dato forma a un “compromesso indeciso”, ambiguo; instabile al punto tale che le formule costituzionali (paradigmaticamente l’art. 41 Cost.) si prestavano a piegarsi agli sviluppi interpretativi e applicativi impressi dalle forze politiche e sociali che nel corso storico avrebbero conquistato l’egemonia</w:t>
      </w:r>
      <w:r w:rsidRPr="00C4795A">
        <w:rPr>
          <w:rStyle w:val="Rimandonotaapidipagina"/>
          <w:rFonts w:ascii="Times New Roman" w:hAnsi="Times New Roman" w:cs="Times New Roman"/>
          <w:sz w:val="25"/>
          <w:szCs w:val="25"/>
        </w:rPr>
        <w:footnoteReference w:id="11"/>
      </w:r>
      <w:r w:rsidRPr="00C4795A">
        <w:rPr>
          <w:rFonts w:ascii="Times New Roman" w:hAnsi="Times New Roman" w:cs="Times New Roman"/>
          <w:sz w:val="25"/>
          <w:szCs w:val="25"/>
        </w:rPr>
        <w:t xml:space="preserve">. Le libertà mercantili forgiate dal diritto europeo, confrontandosi con </w:t>
      </w:r>
      <w:r w:rsidRPr="00C4795A">
        <w:rPr>
          <w:rFonts w:ascii="Times New Roman" w:hAnsi="Times New Roman" w:cs="Times New Roman"/>
          <w:sz w:val="25"/>
          <w:szCs w:val="25"/>
        </w:rPr>
        <w:lastRenderedPageBreak/>
        <w:t xml:space="preserve">norme costituzionali elastiche, a </w:t>
      </w:r>
      <w:proofErr w:type="spellStart"/>
      <w:r w:rsidRPr="00C4795A">
        <w:rPr>
          <w:rFonts w:ascii="Times New Roman" w:hAnsi="Times New Roman" w:cs="Times New Roman"/>
          <w:sz w:val="25"/>
          <w:szCs w:val="25"/>
        </w:rPr>
        <w:t>precettività</w:t>
      </w:r>
      <w:proofErr w:type="spellEnd"/>
      <w:r w:rsidRPr="00C4795A">
        <w:rPr>
          <w:rFonts w:ascii="Times New Roman" w:hAnsi="Times New Roman" w:cs="Times New Roman"/>
          <w:sz w:val="25"/>
          <w:szCs w:val="25"/>
        </w:rPr>
        <w:t xml:space="preserve"> debole, potevano così prospettarne evoluzioni di senso (e </w:t>
      </w:r>
      <w:r w:rsidR="00A96E44" w:rsidRPr="00C4795A">
        <w:rPr>
          <w:rFonts w:ascii="Times New Roman" w:hAnsi="Times New Roman" w:cs="Times New Roman"/>
          <w:sz w:val="25"/>
          <w:szCs w:val="25"/>
        </w:rPr>
        <w:t xml:space="preserve">talora </w:t>
      </w:r>
      <w:r w:rsidRPr="00C4795A">
        <w:rPr>
          <w:rFonts w:ascii="Times New Roman" w:hAnsi="Times New Roman" w:cs="Times New Roman"/>
          <w:sz w:val="25"/>
          <w:szCs w:val="25"/>
        </w:rPr>
        <w:t>vere e proprie modificazioni tacite) corrispondenti al pensiero politico culturalmente dominante</w:t>
      </w:r>
      <w:r w:rsidRPr="00C4795A">
        <w:rPr>
          <w:rFonts w:ascii="Times New Roman" w:hAnsi="Times New Roman" w:cs="Times New Roman"/>
          <w:i/>
          <w:iCs/>
          <w:sz w:val="25"/>
          <w:szCs w:val="25"/>
        </w:rPr>
        <w:t xml:space="preserve"> </w:t>
      </w:r>
      <w:r w:rsidRPr="00C4795A">
        <w:rPr>
          <w:rFonts w:ascii="Times New Roman" w:hAnsi="Times New Roman" w:cs="Times New Roman"/>
          <w:sz w:val="25"/>
          <w:szCs w:val="25"/>
        </w:rPr>
        <w:t>senza generare soverchie tensioni tra Roma e Lussemburgo</w:t>
      </w:r>
      <w:r w:rsidRPr="00C4795A">
        <w:rPr>
          <w:rStyle w:val="Rimandonotaapidipagina"/>
          <w:rFonts w:ascii="Times New Roman" w:hAnsi="Times New Roman" w:cs="Times New Roman"/>
          <w:sz w:val="25"/>
          <w:szCs w:val="25"/>
        </w:rPr>
        <w:footnoteReference w:id="12"/>
      </w:r>
      <w:r w:rsidRPr="00C4795A">
        <w:rPr>
          <w:rFonts w:ascii="Times New Roman" w:hAnsi="Times New Roman" w:cs="Times New Roman"/>
          <w:sz w:val="25"/>
          <w:szCs w:val="25"/>
        </w:rPr>
        <w:t>.</w:t>
      </w:r>
      <w:r w:rsidR="00DC0F0D" w:rsidRPr="00C4795A">
        <w:rPr>
          <w:rFonts w:ascii="Times New Roman" w:hAnsi="Times New Roman" w:cs="Times New Roman"/>
          <w:sz w:val="25"/>
          <w:szCs w:val="25"/>
        </w:rPr>
        <w:t xml:space="preserve"> </w:t>
      </w:r>
      <w:proofErr w:type="gramStart"/>
      <w:r w:rsidRPr="00C4795A">
        <w:rPr>
          <w:rFonts w:ascii="Times New Roman" w:hAnsi="Times New Roman" w:cs="Times New Roman"/>
          <w:sz w:val="25"/>
          <w:szCs w:val="25"/>
        </w:rPr>
        <w:t xml:space="preserve">Nelle </w:t>
      </w:r>
      <w:r w:rsidR="00DC0F0D" w:rsidRPr="00C4795A">
        <w:rPr>
          <w:rFonts w:ascii="Times New Roman" w:hAnsi="Times New Roman" w:cs="Times New Roman"/>
          <w:sz w:val="25"/>
          <w:szCs w:val="25"/>
        </w:rPr>
        <w:t xml:space="preserve"> </w:t>
      </w:r>
      <w:r w:rsidRPr="00C4795A">
        <w:rPr>
          <w:rFonts w:ascii="Times New Roman" w:hAnsi="Times New Roman" w:cs="Times New Roman"/>
          <w:sz w:val="25"/>
          <w:szCs w:val="25"/>
        </w:rPr>
        <w:t>condizioni</w:t>
      </w:r>
      <w:proofErr w:type="gramEnd"/>
      <w:r w:rsidRPr="00C4795A">
        <w:rPr>
          <w:rFonts w:ascii="Times New Roman" w:hAnsi="Times New Roman" w:cs="Times New Roman"/>
          <w:sz w:val="25"/>
          <w:szCs w:val="25"/>
        </w:rPr>
        <w:t xml:space="preserve"> descritte, le intersezioni fra libertà del mercato di conio europeo e diritti costituzionali erano limitate, e per presidiarle poteva bastare la dottrina dei controlimiti, che colpiva con la sanzione dell’inefficacia il diritto comunitario che eccezionalmente facesse irruzione nel </w:t>
      </w:r>
      <w:r w:rsidRPr="00C4795A">
        <w:rPr>
          <w:rFonts w:ascii="Times New Roman" w:hAnsi="Times New Roman" w:cs="Times New Roman"/>
          <w:i/>
          <w:iCs/>
          <w:sz w:val="25"/>
          <w:szCs w:val="25"/>
        </w:rPr>
        <w:t>sancta sanctorum</w:t>
      </w:r>
      <w:r w:rsidRPr="00C4795A">
        <w:rPr>
          <w:rFonts w:ascii="Times New Roman" w:hAnsi="Times New Roman" w:cs="Times New Roman"/>
          <w:sz w:val="25"/>
          <w:szCs w:val="25"/>
        </w:rPr>
        <w:t xml:space="preserve"> della Carta repubblicana. </w:t>
      </w:r>
    </w:p>
    <w:p w14:paraId="2F3A0503" w14:textId="5FE119E3"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 xml:space="preserve">Per questo tipo di diritto dell’UE, la regola </w:t>
      </w:r>
      <w:proofErr w:type="spellStart"/>
      <w:r w:rsidRPr="00C4795A">
        <w:rPr>
          <w:rFonts w:ascii="Times New Roman" w:hAnsi="Times New Roman" w:cs="Times New Roman"/>
          <w:sz w:val="25"/>
          <w:szCs w:val="25"/>
        </w:rPr>
        <w:t>Granital</w:t>
      </w:r>
      <w:proofErr w:type="spellEnd"/>
      <w:r w:rsidRPr="00C4795A">
        <w:rPr>
          <w:rFonts w:ascii="Times New Roman" w:hAnsi="Times New Roman" w:cs="Times New Roman"/>
          <w:sz w:val="25"/>
          <w:szCs w:val="25"/>
        </w:rPr>
        <w:t xml:space="preserve"> era più che adeguata: da un lato, infatti, per il tramite del sindacato diffuso e grazie alla forza conformativa di un diritto prevalente su quello nazionale, sarebbero stati introdotti nell’ordinamento interno più avanzati livelli di tutela delle libertà economiche, debolmente protette nella Costituzione repubblicana. Dall’altro lato, il giudice costituzionale conservava e rivendicava il controllo «in riferimento ai principi fondamentali del nostro ordinamento costituzionale e ai diritti inalienabili della persona umana»</w:t>
      </w:r>
      <w:r w:rsidRPr="00C4795A">
        <w:rPr>
          <w:rStyle w:val="Rimandonotaapidipagina"/>
          <w:rFonts w:ascii="Times New Roman" w:hAnsi="Times New Roman" w:cs="Times New Roman"/>
          <w:sz w:val="25"/>
          <w:szCs w:val="25"/>
        </w:rPr>
        <w:footnoteReference w:id="13"/>
      </w:r>
      <w:r w:rsidRPr="00C4795A">
        <w:rPr>
          <w:rFonts w:ascii="Times New Roman" w:hAnsi="Times New Roman" w:cs="Times New Roman"/>
          <w:sz w:val="25"/>
          <w:szCs w:val="25"/>
        </w:rPr>
        <w:t xml:space="preserve">; poneva, quindi, i diritti della persona come fattore di relativizzazione e limite invalicabile per le stesse libertà mercantili. </w:t>
      </w:r>
    </w:p>
    <w:p w14:paraId="5FDF1742" w14:textId="1594E836"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 xml:space="preserve">In questi termini e su queste precise condizioni si reggeva il patto di non belligeranza fra Corte di giustizia, custode ultima delle libertà del mercato, e Corte costituzionale, custode ultima dei diritti della persona. Il </w:t>
      </w:r>
      <w:proofErr w:type="spellStart"/>
      <w:r w:rsidRPr="00C4795A">
        <w:rPr>
          <w:rFonts w:ascii="Times New Roman" w:hAnsi="Times New Roman" w:cs="Times New Roman"/>
          <w:i/>
          <w:iCs/>
          <w:sz w:val="25"/>
          <w:szCs w:val="25"/>
        </w:rPr>
        <w:t>Bundesverfassungsgericht</w:t>
      </w:r>
      <w:proofErr w:type="spellEnd"/>
      <w:r w:rsidRPr="00C4795A">
        <w:rPr>
          <w:rFonts w:ascii="Times New Roman" w:hAnsi="Times New Roman" w:cs="Times New Roman"/>
          <w:sz w:val="25"/>
          <w:szCs w:val="25"/>
        </w:rPr>
        <w:t xml:space="preserve"> tedesco ha, nel tempo, squadernato le condizioni di volta in volta apposte all’avanzare del processo di integrazione europea: prima </w:t>
      </w:r>
      <w:r w:rsidRPr="00C4795A">
        <w:rPr>
          <w:rFonts w:ascii="Times New Roman" w:hAnsi="Times New Roman" w:cs="Times New Roman"/>
          <w:sz w:val="25"/>
          <w:szCs w:val="25"/>
        </w:rPr>
        <w:lastRenderedPageBreak/>
        <w:t xml:space="preserve">rivendicando </w:t>
      </w:r>
      <w:r w:rsidR="00977267" w:rsidRPr="00C4795A">
        <w:rPr>
          <w:rFonts w:ascii="Times New Roman" w:hAnsi="Times New Roman" w:cs="Times New Roman"/>
          <w:sz w:val="25"/>
          <w:szCs w:val="25"/>
        </w:rPr>
        <w:t xml:space="preserve">a sé </w:t>
      </w:r>
      <w:r w:rsidRPr="00C4795A">
        <w:rPr>
          <w:rFonts w:ascii="Times New Roman" w:hAnsi="Times New Roman" w:cs="Times New Roman"/>
          <w:sz w:val="25"/>
          <w:szCs w:val="25"/>
        </w:rPr>
        <w:t xml:space="preserve">lo scrutinio del diritto UE </w:t>
      </w:r>
      <w:r w:rsidR="0079306F" w:rsidRPr="00C4795A">
        <w:rPr>
          <w:rFonts w:ascii="Times New Roman" w:hAnsi="Times New Roman" w:cs="Times New Roman"/>
          <w:sz w:val="25"/>
          <w:szCs w:val="25"/>
        </w:rPr>
        <w:t>su</w:t>
      </w:r>
      <w:r w:rsidRPr="00C4795A">
        <w:rPr>
          <w:rFonts w:ascii="Times New Roman" w:hAnsi="Times New Roman" w:cs="Times New Roman"/>
          <w:sz w:val="25"/>
          <w:szCs w:val="25"/>
        </w:rPr>
        <w:t>l rispetto dei diritti fondamentali</w:t>
      </w:r>
      <w:r w:rsidRPr="00C4795A">
        <w:rPr>
          <w:rStyle w:val="Rimandonotaapidipagina"/>
          <w:rFonts w:ascii="Times New Roman" w:hAnsi="Times New Roman" w:cs="Times New Roman"/>
          <w:sz w:val="25"/>
          <w:szCs w:val="25"/>
        </w:rPr>
        <w:footnoteReference w:id="14"/>
      </w:r>
      <w:r w:rsidRPr="00C4795A">
        <w:rPr>
          <w:rFonts w:ascii="Times New Roman" w:hAnsi="Times New Roman" w:cs="Times New Roman"/>
          <w:sz w:val="25"/>
          <w:szCs w:val="25"/>
        </w:rPr>
        <w:t xml:space="preserve">, poi </w:t>
      </w:r>
      <w:r w:rsidR="00977267" w:rsidRPr="00C4795A">
        <w:rPr>
          <w:rFonts w:ascii="Times New Roman" w:hAnsi="Times New Roman" w:cs="Times New Roman"/>
          <w:sz w:val="25"/>
          <w:szCs w:val="25"/>
        </w:rPr>
        <w:t xml:space="preserve">strutturando </w:t>
      </w:r>
      <w:r w:rsidRPr="00C4795A">
        <w:rPr>
          <w:rFonts w:ascii="Times New Roman" w:hAnsi="Times New Roman" w:cs="Times New Roman"/>
          <w:sz w:val="25"/>
          <w:szCs w:val="25"/>
        </w:rPr>
        <w:t>l’</w:t>
      </w:r>
      <w:r w:rsidRPr="00C4795A">
        <w:rPr>
          <w:rFonts w:ascii="Times New Roman" w:hAnsi="Times New Roman" w:cs="Times New Roman"/>
          <w:i/>
          <w:iCs/>
          <w:sz w:val="25"/>
          <w:szCs w:val="25"/>
        </w:rPr>
        <w:t xml:space="preserve">ultra </w:t>
      </w:r>
      <w:proofErr w:type="spellStart"/>
      <w:r w:rsidRPr="00C4795A">
        <w:rPr>
          <w:rFonts w:ascii="Times New Roman" w:hAnsi="Times New Roman" w:cs="Times New Roman"/>
          <w:i/>
          <w:iCs/>
          <w:sz w:val="25"/>
          <w:szCs w:val="25"/>
        </w:rPr>
        <w:t>vires</w:t>
      </w:r>
      <w:proofErr w:type="spellEnd"/>
      <w:r w:rsidRPr="00C4795A">
        <w:rPr>
          <w:rFonts w:ascii="Times New Roman" w:hAnsi="Times New Roman" w:cs="Times New Roman"/>
          <w:i/>
          <w:iCs/>
          <w:sz w:val="25"/>
          <w:szCs w:val="25"/>
        </w:rPr>
        <w:t xml:space="preserve"> </w:t>
      </w:r>
      <w:proofErr w:type="spellStart"/>
      <w:r w:rsidRPr="00C4795A">
        <w:rPr>
          <w:rFonts w:ascii="Times New Roman" w:hAnsi="Times New Roman" w:cs="Times New Roman"/>
          <w:i/>
          <w:iCs/>
          <w:sz w:val="25"/>
          <w:szCs w:val="25"/>
        </w:rPr>
        <w:t>Kontrolle</w:t>
      </w:r>
      <w:proofErr w:type="spellEnd"/>
      <w:r w:rsidRPr="00C4795A">
        <w:rPr>
          <w:rStyle w:val="Rimandonotaapidipagina"/>
          <w:rFonts w:ascii="Times New Roman" w:hAnsi="Times New Roman" w:cs="Times New Roman"/>
          <w:sz w:val="25"/>
          <w:szCs w:val="25"/>
        </w:rPr>
        <w:footnoteReference w:id="15"/>
      </w:r>
      <w:r w:rsidRPr="00C4795A">
        <w:rPr>
          <w:rFonts w:ascii="Times New Roman" w:hAnsi="Times New Roman" w:cs="Times New Roman"/>
          <w:sz w:val="25"/>
          <w:szCs w:val="25"/>
        </w:rPr>
        <w:t xml:space="preserve">; infine concettualizzando il controllo di </w:t>
      </w:r>
      <w:r w:rsidRPr="00C4795A">
        <w:rPr>
          <w:rFonts w:ascii="Times New Roman" w:hAnsi="Times New Roman" w:cs="Times New Roman"/>
          <w:i/>
          <w:iCs/>
          <w:sz w:val="25"/>
          <w:szCs w:val="25"/>
        </w:rPr>
        <w:t>identità</w:t>
      </w:r>
      <w:r w:rsidRPr="00C4795A">
        <w:rPr>
          <w:rStyle w:val="Rimandonotaapidipagina"/>
          <w:rFonts w:ascii="Times New Roman" w:hAnsi="Times New Roman" w:cs="Times New Roman"/>
          <w:sz w:val="25"/>
          <w:szCs w:val="25"/>
        </w:rPr>
        <w:footnoteReference w:id="16"/>
      </w:r>
      <w:r w:rsidRPr="00C4795A">
        <w:rPr>
          <w:rFonts w:ascii="Times New Roman" w:hAnsi="Times New Roman" w:cs="Times New Roman"/>
          <w:sz w:val="25"/>
          <w:szCs w:val="25"/>
        </w:rPr>
        <w:t>.</w:t>
      </w:r>
    </w:p>
    <w:p w14:paraId="0C8C30A5" w14:textId="3BEDF3C9"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La Corte costituzionale italiana, cui va ascritto il merito di aver per prima – con la sentenza n. 183 del 1973 – elaborato la dottrina del controllo del diritto comunitario al metro dei diritti fondamentali</w:t>
      </w:r>
      <w:r w:rsidR="000E39B0" w:rsidRPr="00C4795A">
        <w:rPr>
          <w:rStyle w:val="Rimandonotaapidipagina"/>
          <w:rFonts w:ascii="Times New Roman" w:hAnsi="Times New Roman" w:cs="Times New Roman"/>
          <w:sz w:val="25"/>
          <w:szCs w:val="25"/>
        </w:rPr>
        <w:footnoteReference w:id="17"/>
      </w:r>
      <w:r w:rsidRPr="00C4795A">
        <w:rPr>
          <w:rFonts w:ascii="Times New Roman" w:hAnsi="Times New Roman" w:cs="Times New Roman"/>
          <w:sz w:val="25"/>
          <w:szCs w:val="25"/>
        </w:rPr>
        <w:t xml:space="preserve">, non si è generalmente espressa con altrettanta nettezza nel suo dialogo a distanza con la Corte di giustizia, ma che quello sopra riportato costituisse, nella sentenza </w:t>
      </w:r>
      <w:proofErr w:type="spellStart"/>
      <w:r w:rsidRPr="00C4795A">
        <w:rPr>
          <w:rFonts w:ascii="Times New Roman" w:hAnsi="Times New Roman" w:cs="Times New Roman"/>
          <w:sz w:val="25"/>
          <w:szCs w:val="25"/>
        </w:rPr>
        <w:t>Granital</w:t>
      </w:r>
      <w:proofErr w:type="spellEnd"/>
      <w:r w:rsidRPr="00C4795A">
        <w:rPr>
          <w:rFonts w:ascii="Times New Roman" w:hAnsi="Times New Roman" w:cs="Times New Roman"/>
          <w:sz w:val="25"/>
          <w:szCs w:val="25"/>
        </w:rPr>
        <w:t xml:space="preserve">, il presupposto essenziale per la validità dell’accordo tacito fra Roma e Lussemburgo non mi pare opinabile. </w:t>
      </w:r>
    </w:p>
    <w:p w14:paraId="7932F278" w14:textId="4678E2A4"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 xml:space="preserve">Ebbene, questo presupposto è venuto del tutto a mancare quando il diritto europeo, </w:t>
      </w:r>
      <w:r w:rsidR="000E39B0" w:rsidRPr="00C4795A">
        <w:rPr>
          <w:rFonts w:ascii="Times New Roman" w:hAnsi="Times New Roman" w:cs="Times New Roman"/>
          <w:sz w:val="25"/>
          <w:szCs w:val="25"/>
        </w:rPr>
        <w:t>prima per mano della Corte di giustizia, poi con la</w:t>
      </w:r>
      <w:r w:rsidRPr="00C4795A">
        <w:rPr>
          <w:rFonts w:ascii="Times New Roman" w:hAnsi="Times New Roman" w:cs="Times New Roman"/>
          <w:sz w:val="25"/>
          <w:szCs w:val="25"/>
        </w:rPr>
        <w:t xml:space="preserve"> Carta di Nizza, ha varcato le colonne d’Ercole delle libertà del mercato e si è avventurato nel vasto e profondo mare dei diritti della persona. In questo preciso momento il diritto dell’UE si è dotato degli strumenti normativi per poter riconformare, in forma tacita ma non per questo meno intensa, il parametro alla stregua del quale la Corte aveva dichiarato di voler scrutinare il diritto unionale. Se infa</w:t>
      </w:r>
      <w:r w:rsidR="006A41F3" w:rsidRPr="00C4795A">
        <w:rPr>
          <w:rFonts w:ascii="Times New Roman" w:hAnsi="Times New Roman" w:cs="Times New Roman"/>
          <w:sz w:val="25"/>
          <w:szCs w:val="25"/>
        </w:rPr>
        <w:t xml:space="preserve">tti la prevalente </w:t>
      </w:r>
      <w:r w:rsidRPr="00C4795A">
        <w:rPr>
          <w:rFonts w:ascii="Times New Roman" w:hAnsi="Times New Roman" w:cs="Times New Roman"/>
          <w:sz w:val="25"/>
          <w:szCs w:val="25"/>
        </w:rPr>
        <w:t xml:space="preserve">normativa </w:t>
      </w:r>
      <w:r w:rsidR="006A41F3" w:rsidRPr="00C4795A">
        <w:rPr>
          <w:rFonts w:ascii="Times New Roman" w:hAnsi="Times New Roman" w:cs="Times New Roman"/>
          <w:sz w:val="25"/>
          <w:szCs w:val="25"/>
        </w:rPr>
        <w:t xml:space="preserve">europea </w:t>
      </w:r>
      <w:r w:rsidRPr="00C4795A">
        <w:rPr>
          <w:rFonts w:ascii="Times New Roman" w:hAnsi="Times New Roman" w:cs="Times New Roman"/>
          <w:sz w:val="25"/>
          <w:szCs w:val="25"/>
        </w:rPr>
        <w:t xml:space="preserve">delinea nuove virtualità interpretative dei diritti inviolabili, ne risulta potenzialmente modificato il metro </w:t>
      </w:r>
      <w:r w:rsidRPr="00C4795A">
        <w:rPr>
          <w:rFonts w:ascii="Times New Roman" w:hAnsi="Times New Roman" w:cs="Times New Roman"/>
          <w:sz w:val="25"/>
          <w:szCs w:val="25"/>
        </w:rPr>
        <w:lastRenderedPageBreak/>
        <w:t>di misurazione della stessa legittimità costituzionale del diritto dell’Unione; e – come è stato rilevato – «non appare armonico con la dottrina dei controlimiti che le fonti del diritto UE, una volta occupata la materia costituzionale, ‘sfruttino’ la diretta efficacia per esaurire in sé le tutele, degradando lo scrutinio di costituzionalità a controllo di applicabilità della norma interna eventualmente contrastante»</w:t>
      </w:r>
      <w:r w:rsidRPr="00C4795A">
        <w:rPr>
          <w:rStyle w:val="Rimandonotaapidipagina"/>
          <w:rFonts w:ascii="Times New Roman" w:hAnsi="Times New Roman" w:cs="Times New Roman"/>
          <w:sz w:val="25"/>
          <w:szCs w:val="25"/>
        </w:rPr>
        <w:footnoteReference w:id="18"/>
      </w:r>
      <w:r w:rsidRPr="00C4795A">
        <w:rPr>
          <w:rFonts w:ascii="Times New Roman" w:hAnsi="Times New Roman" w:cs="Times New Roman"/>
          <w:sz w:val="25"/>
          <w:szCs w:val="25"/>
        </w:rPr>
        <w:t xml:space="preserve">. </w:t>
      </w:r>
    </w:p>
    <w:p w14:paraId="615BA03C" w14:textId="6A39202A"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Che tutto questo potesse restare senza conseguenze sull’assetto tradizionale dei rapporti tra fonti interne ed europe</w:t>
      </w:r>
      <w:r w:rsidR="000E39B0" w:rsidRPr="00C4795A">
        <w:rPr>
          <w:rFonts w:ascii="Times New Roman" w:hAnsi="Times New Roman" w:cs="Times New Roman"/>
          <w:sz w:val="25"/>
          <w:szCs w:val="25"/>
        </w:rPr>
        <w:t>e</w:t>
      </w:r>
      <w:r w:rsidR="00306D55" w:rsidRPr="00C4795A">
        <w:rPr>
          <w:rFonts w:ascii="Times New Roman" w:hAnsi="Times New Roman" w:cs="Times New Roman"/>
          <w:sz w:val="25"/>
          <w:szCs w:val="25"/>
        </w:rPr>
        <w:t>;</w:t>
      </w:r>
      <w:r w:rsidRPr="00C4795A">
        <w:rPr>
          <w:rFonts w:ascii="Times New Roman" w:hAnsi="Times New Roman" w:cs="Times New Roman"/>
          <w:sz w:val="25"/>
          <w:szCs w:val="25"/>
        </w:rPr>
        <w:t xml:space="preserve"> che tutto potesse restare cristallizzato al ‘patto </w:t>
      </w:r>
      <w:proofErr w:type="spellStart"/>
      <w:r w:rsidRPr="00C4795A">
        <w:rPr>
          <w:rFonts w:ascii="Times New Roman" w:hAnsi="Times New Roman" w:cs="Times New Roman"/>
          <w:sz w:val="25"/>
          <w:szCs w:val="25"/>
        </w:rPr>
        <w:t>Granital</w:t>
      </w:r>
      <w:proofErr w:type="spellEnd"/>
      <w:r w:rsidRPr="00C4795A">
        <w:rPr>
          <w:rFonts w:ascii="Times New Roman" w:hAnsi="Times New Roman" w:cs="Times New Roman"/>
          <w:sz w:val="25"/>
          <w:szCs w:val="25"/>
        </w:rPr>
        <w:t xml:space="preserve">’, sarebbe stato incomprensibile. Nel momento in cui il diritto dell’UE ha assunto a suo oggetto la disciplina di diritti inviolabili che – secondo la dottrina dei controlimiti – doveva costituire l’estremo e ultimale parametro di quel diritto, la regola </w:t>
      </w:r>
      <w:proofErr w:type="spellStart"/>
      <w:r w:rsidRPr="00C4795A">
        <w:rPr>
          <w:rFonts w:ascii="Times New Roman" w:hAnsi="Times New Roman" w:cs="Times New Roman"/>
          <w:sz w:val="25"/>
          <w:szCs w:val="25"/>
        </w:rPr>
        <w:t>Granital</w:t>
      </w:r>
      <w:proofErr w:type="spellEnd"/>
      <w:r w:rsidRPr="00C4795A">
        <w:rPr>
          <w:rFonts w:ascii="Times New Roman" w:hAnsi="Times New Roman" w:cs="Times New Roman"/>
          <w:sz w:val="25"/>
          <w:szCs w:val="25"/>
        </w:rPr>
        <w:t xml:space="preserve"> era destinata ad essere problematizzata e adeguata al nuovo contesto di riferimento. </w:t>
      </w:r>
    </w:p>
    <w:p w14:paraId="131F0F8B" w14:textId="13249F38"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t>La Corte non poteva, peraltro, restare l’unico pianeta immobile in una galassia in continuo movimento: da un lato, i giudici comuni, pressati dalla comprensibile esigenza di garantire immediatezza di tutela alle posizioni delle parti, sono proclivi a interpretazioni largheggianti del perimetro di estensione dei diritti di matrice unionale e dell’effetto diretto della relativa normativa e sembrano preferire il rinvio pregiudiziale all’incidente di costituzionalità nelle questioni strutturate sul doppio parametro interno e sovranazionale</w:t>
      </w:r>
      <w:r w:rsidRPr="00C4795A">
        <w:rPr>
          <w:rStyle w:val="Rimandonotaapidipagina"/>
          <w:rFonts w:ascii="Times New Roman" w:hAnsi="Times New Roman" w:cs="Times New Roman"/>
          <w:sz w:val="25"/>
          <w:szCs w:val="25"/>
        </w:rPr>
        <w:footnoteReference w:id="19"/>
      </w:r>
      <w:r w:rsidRPr="00C4795A">
        <w:rPr>
          <w:rFonts w:ascii="Times New Roman" w:hAnsi="Times New Roman" w:cs="Times New Roman"/>
          <w:sz w:val="25"/>
          <w:szCs w:val="25"/>
        </w:rPr>
        <w:t>, con il rischio di contribuire a prosciugare ulteriormente il canale incidentale</w:t>
      </w:r>
      <w:r w:rsidRPr="00C4795A">
        <w:rPr>
          <w:rStyle w:val="Rimandonotaapidipagina"/>
          <w:rFonts w:ascii="Times New Roman" w:hAnsi="Times New Roman" w:cs="Times New Roman"/>
          <w:sz w:val="25"/>
          <w:szCs w:val="25"/>
        </w:rPr>
        <w:footnoteReference w:id="20"/>
      </w:r>
      <w:r w:rsidRPr="00C4795A">
        <w:rPr>
          <w:rFonts w:ascii="Times New Roman" w:hAnsi="Times New Roman" w:cs="Times New Roman"/>
          <w:sz w:val="25"/>
          <w:szCs w:val="25"/>
        </w:rPr>
        <w:t>; dall’altro lato, la Corte di Giustizia ha finora accreditato una lettura espansiva della dottrina degli effetti diretti</w:t>
      </w:r>
      <w:r w:rsidRPr="00C4795A">
        <w:rPr>
          <w:rStyle w:val="Rimandonotaapidipagina"/>
          <w:rFonts w:ascii="Times New Roman" w:hAnsi="Times New Roman" w:cs="Times New Roman"/>
          <w:sz w:val="25"/>
          <w:szCs w:val="25"/>
        </w:rPr>
        <w:footnoteReference w:id="21"/>
      </w:r>
      <w:r w:rsidRPr="00C4795A">
        <w:rPr>
          <w:rFonts w:ascii="Times New Roman" w:hAnsi="Times New Roman" w:cs="Times New Roman"/>
          <w:sz w:val="25"/>
          <w:szCs w:val="25"/>
        </w:rPr>
        <w:t xml:space="preserve">, e, con la sentenza </w:t>
      </w:r>
      <w:proofErr w:type="spellStart"/>
      <w:r w:rsidRPr="00C4795A">
        <w:rPr>
          <w:rFonts w:ascii="Times New Roman" w:hAnsi="Times New Roman" w:cs="Times New Roman"/>
          <w:i/>
          <w:iCs/>
          <w:sz w:val="25"/>
          <w:szCs w:val="25"/>
        </w:rPr>
        <w:t>Åkeberg</w:t>
      </w:r>
      <w:proofErr w:type="spellEnd"/>
      <w:r w:rsidRPr="00C4795A">
        <w:rPr>
          <w:rFonts w:ascii="Times New Roman" w:hAnsi="Times New Roman" w:cs="Times New Roman"/>
          <w:i/>
          <w:iCs/>
          <w:sz w:val="25"/>
          <w:szCs w:val="25"/>
        </w:rPr>
        <w:t xml:space="preserve"> Fransson</w:t>
      </w:r>
      <w:r w:rsidR="000E39B0" w:rsidRPr="00C4795A">
        <w:rPr>
          <w:rFonts w:ascii="Times New Roman" w:hAnsi="Times New Roman" w:cs="Times New Roman"/>
          <w:sz w:val="25"/>
          <w:szCs w:val="25"/>
        </w:rPr>
        <w:t>,</w:t>
      </w:r>
      <w:r w:rsidRPr="00C4795A">
        <w:rPr>
          <w:rFonts w:ascii="Times New Roman" w:hAnsi="Times New Roman" w:cs="Times New Roman"/>
          <w:sz w:val="25"/>
          <w:szCs w:val="25"/>
        </w:rPr>
        <w:t xml:space="preserve"> ha posto le premesse per la dilatazione e potenzialmente l’esondazione della Carta di Nizza dal suo originario alveo applicativo (suscitando non a caso la brusca reazione del </w:t>
      </w:r>
      <w:proofErr w:type="spellStart"/>
      <w:r w:rsidRPr="00C4795A">
        <w:rPr>
          <w:rFonts w:ascii="Times New Roman" w:hAnsi="Times New Roman" w:cs="Times New Roman"/>
          <w:i/>
          <w:iCs/>
          <w:sz w:val="25"/>
          <w:szCs w:val="25"/>
        </w:rPr>
        <w:t>Bundesverfassungsgericht</w:t>
      </w:r>
      <w:proofErr w:type="spellEnd"/>
      <w:r w:rsidRPr="00C4795A">
        <w:rPr>
          <w:rFonts w:ascii="Times New Roman" w:hAnsi="Times New Roman" w:cs="Times New Roman"/>
          <w:sz w:val="25"/>
          <w:szCs w:val="25"/>
        </w:rPr>
        <w:t xml:space="preserve"> tedesco)</w:t>
      </w:r>
      <w:r w:rsidRPr="00C4795A">
        <w:rPr>
          <w:rStyle w:val="Rimandonotaapidipagina"/>
          <w:rFonts w:ascii="Times New Roman" w:hAnsi="Times New Roman" w:cs="Times New Roman"/>
          <w:sz w:val="25"/>
          <w:szCs w:val="25"/>
        </w:rPr>
        <w:footnoteReference w:id="22"/>
      </w:r>
      <w:r w:rsidRPr="00C4795A">
        <w:rPr>
          <w:rFonts w:ascii="Times New Roman" w:hAnsi="Times New Roman" w:cs="Times New Roman"/>
          <w:sz w:val="25"/>
          <w:szCs w:val="25"/>
        </w:rPr>
        <w:t>.</w:t>
      </w:r>
    </w:p>
    <w:p w14:paraId="115345FB" w14:textId="7DA171A7" w:rsidR="00FF3EEB" w:rsidRPr="00C4795A" w:rsidRDefault="00FF3EEB" w:rsidP="000E39B0">
      <w:pPr>
        <w:pStyle w:val="Paragrafoelenco"/>
        <w:ind w:left="0"/>
        <w:jc w:val="both"/>
        <w:rPr>
          <w:rFonts w:ascii="Times New Roman" w:hAnsi="Times New Roman" w:cs="Times New Roman"/>
          <w:sz w:val="25"/>
          <w:szCs w:val="25"/>
        </w:rPr>
      </w:pPr>
      <w:r w:rsidRPr="00C4795A">
        <w:rPr>
          <w:rFonts w:ascii="Times New Roman" w:hAnsi="Times New Roman" w:cs="Times New Roman"/>
          <w:sz w:val="25"/>
          <w:szCs w:val="25"/>
        </w:rPr>
        <w:lastRenderedPageBreak/>
        <w:t xml:space="preserve">Nel cammino verso la salvezza – lo ricorda Tommaso d’Aquino nella </w:t>
      </w:r>
      <w:r w:rsidRPr="00C4795A">
        <w:rPr>
          <w:rFonts w:ascii="Times New Roman" w:hAnsi="Times New Roman" w:cs="Times New Roman"/>
          <w:i/>
          <w:iCs/>
          <w:sz w:val="25"/>
          <w:szCs w:val="25"/>
        </w:rPr>
        <w:t xml:space="preserve">Summa </w:t>
      </w:r>
      <w:proofErr w:type="spellStart"/>
      <w:r w:rsidRPr="00C4795A">
        <w:rPr>
          <w:rFonts w:ascii="Times New Roman" w:hAnsi="Times New Roman" w:cs="Times New Roman"/>
          <w:i/>
          <w:iCs/>
          <w:sz w:val="25"/>
          <w:szCs w:val="25"/>
        </w:rPr>
        <w:t>Theologiae</w:t>
      </w:r>
      <w:proofErr w:type="spellEnd"/>
      <w:r w:rsidRPr="00C4795A">
        <w:rPr>
          <w:rFonts w:ascii="Times New Roman" w:hAnsi="Times New Roman" w:cs="Times New Roman"/>
          <w:sz w:val="25"/>
          <w:szCs w:val="25"/>
        </w:rPr>
        <w:t xml:space="preserve"> – fermarsi vuol dire retrocedere: “</w:t>
      </w:r>
      <w:r w:rsidRPr="00C4795A">
        <w:rPr>
          <w:rFonts w:ascii="Times New Roman" w:hAnsi="Times New Roman" w:cs="Times New Roman"/>
          <w:i/>
          <w:iCs/>
          <w:sz w:val="25"/>
          <w:szCs w:val="25"/>
        </w:rPr>
        <w:t>In via Dei stare retrocedere est</w:t>
      </w:r>
      <w:r w:rsidRPr="00C4795A">
        <w:rPr>
          <w:rStyle w:val="Rimandonotaapidipagina"/>
          <w:rFonts w:ascii="Times New Roman" w:hAnsi="Times New Roman" w:cs="Times New Roman"/>
          <w:sz w:val="25"/>
          <w:szCs w:val="25"/>
        </w:rPr>
        <w:footnoteReference w:id="23"/>
      </w:r>
      <w:r w:rsidRPr="00C4795A">
        <w:rPr>
          <w:rFonts w:ascii="Times New Roman" w:hAnsi="Times New Roman" w:cs="Times New Roman"/>
          <w:sz w:val="25"/>
          <w:szCs w:val="25"/>
        </w:rPr>
        <w:t>”. Simmetricamente, nel ‘cammino comunitario’ della Corte – secondo l’espressione ormai classica di Paolo Barile</w:t>
      </w:r>
      <w:r w:rsidRPr="00C4795A">
        <w:rPr>
          <w:rStyle w:val="Rimandonotaapidipagina"/>
          <w:rFonts w:ascii="Times New Roman" w:hAnsi="Times New Roman" w:cs="Times New Roman"/>
          <w:sz w:val="25"/>
          <w:szCs w:val="25"/>
        </w:rPr>
        <w:footnoteReference w:id="24"/>
      </w:r>
      <w:r w:rsidRPr="00C4795A">
        <w:rPr>
          <w:rFonts w:ascii="Times New Roman" w:hAnsi="Times New Roman" w:cs="Times New Roman"/>
          <w:sz w:val="25"/>
          <w:szCs w:val="25"/>
        </w:rPr>
        <w:t xml:space="preserve"> – stare fermi a </w:t>
      </w:r>
      <w:proofErr w:type="spellStart"/>
      <w:r w:rsidRPr="00C4795A">
        <w:rPr>
          <w:rFonts w:ascii="Times New Roman" w:hAnsi="Times New Roman" w:cs="Times New Roman"/>
          <w:sz w:val="25"/>
          <w:szCs w:val="25"/>
        </w:rPr>
        <w:t>Granital</w:t>
      </w:r>
      <w:proofErr w:type="spellEnd"/>
      <w:r w:rsidRPr="00C4795A">
        <w:rPr>
          <w:rFonts w:ascii="Times New Roman" w:hAnsi="Times New Roman" w:cs="Times New Roman"/>
          <w:sz w:val="25"/>
          <w:szCs w:val="25"/>
        </w:rPr>
        <w:t xml:space="preserve"> avrebbe significato arretrare nella tutela dei diritti fondamentali e lasciare sguarnito della garanzia del sindacato accentrato un segmento i</w:t>
      </w:r>
      <w:r w:rsidR="00153A37" w:rsidRPr="00C4795A">
        <w:rPr>
          <w:rFonts w:ascii="Times New Roman" w:hAnsi="Times New Roman" w:cs="Times New Roman"/>
          <w:sz w:val="25"/>
          <w:szCs w:val="25"/>
        </w:rPr>
        <w:t xml:space="preserve">rrinunciabile </w:t>
      </w:r>
      <w:r w:rsidRPr="00C4795A">
        <w:rPr>
          <w:rFonts w:ascii="Times New Roman" w:hAnsi="Times New Roman" w:cs="Times New Roman"/>
          <w:sz w:val="25"/>
          <w:szCs w:val="25"/>
        </w:rPr>
        <w:t>della materia costituzionale.</w:t>
      </w:r>
      <w:r w:rsidR="00385AB9" w:rsidRPr="00C4795A">
        <w:rPr>
          <w:rFonts w:ascii="Times New Roman" w:hAnsi="Times New Roman" w:cs="Times New Roman"/>
          <w:sz w:val="25"/>
          <w:szCs w:val="25"/>
        </w:rPr>
        <w:t xml:space="preserve"> </w:t>
      </w:r>
      <w:r w:rsidRPr="00C4795A">
        <w:rPr>
          <w:rFonts w:ascii="Times New Roman" w:hAnsi="Times New Roman" w:cs="Times New Roman"/>
          <w:sz w:val="25"/>
          <w:szCs w:val="25"/>
        </w:rPr>
        <w:t>Con enfasi voluta, se ne può concludere che l’assenza di ogni reazione da parte della Co</w:t>
      </w:r>
      <w:r w:rsidR="00385AB9" w:rsidRPr="00C4795A">
        <w:rPr>
          <w:rFonts w:ascii="Times New Roman" w:hAnsi="Times New Roman" w:cs="Times New Roman"/>
          <w:sz w:val="25"/>
          <w:szCs w:val="25"/>
        </w:rPr>
        <w:t xml:space="preserve">nsulta </w:t>
      </w:r>
      <w:r w:rsidRPr="00C4795A">
        <w:rPr>
          <w:rFonts w:ascii="Times New Roman" w:hAnsi="Times New Roman" w:cs="Times New Roman"/>
          <w:sz w:val="25"/>
          <w:szCs w:val="25"/>
        </w:rPr>
        <w:t>sarebbe equivalsa a un atto di sedizione costituzionale.</w:t>
      </w:r>
    </w:p>
    <w:p w14:paraId="42B05A77" w14:textId="15E6DC57" w:rsidR="00FF3EEB" w:rsidRPr="00C4795A" w:rsidRDefault="00FF3EEB" w:rsidP="000E39B0">
      <w:pPr>
        <w:pStyle w:val="Paragrafoelenco"/>
        <w:ind w:left="0"/>
        <w:jc w:val="both"/>
        <w:rPr>
          <w:rFonts w:ascii="Arial" w:hAnsi="Arial" w:cs="Arial"/>
          <w:sz w:val="24"/>
          <w:szCs w:val="24"/>
        </w:rPr>
      </w:pPr>
      <w:r w:rsidRPr="00C4795A">
        <w:rPr>
          <w:rFonts w:ascii="Times New Roman" w:hAnsi="Times New Roman" w:cs="Times New Roman"/>
          <w:sz w:val="25"/>
          <w:szCs w:val="25"/>
        </w:rPr>
        <w:t xml:space="preserve">Nessuna sorpresa, dunque, che una prima reazione vi sia stata con la giurisprudenza inaugurata dalla sentenza n. 269 del 2017, che ha rivendicato il più attivo coinvolgimento della Corte costituzionale nelle questioni doppiamente pregiudiziali. La regola ivi declinata sembrava limitare l’area della sovrapposizione di tutele (costituzionale e unionale) al confronto fra violazioni simultaneamente riferibili alla Costituzione e alla Carta di Nizza; ma era plausibile, e in fondo non inatteso, che la riappropriazione di campo del giudizio </w:t>
      </w:r>
      <w:r w:rsidR="00883B16" w:rsidRPr="00C4795A">
        <w:rPr>
          <w:rFonts w:ascii="Times New Roman" w:hAnsi="Times New Roman" w:cs="Times New Roman"/>
          <w:sz w:val="25"/>
          <w:szCs w:val="25"/>
        </w:rPr>
        <w:t>incident</w:t>
      </w:r>
      <w:r w:rsidRPr="00C4795A">
        <w:rPr>
          <w:rFonts w:ascii="Times New Roman" w:hAnsi="Times New Roman" w:cs="Times New Roman"/>
          <w:sz w:val="25"/>
          <w:szCs w:val="25"/>
        </w:rPr>
        <w:t xml:space="preserve">ale non si fermasse dinanzi alla forma della fonte europea, ma si espandesse ai contenuti </w:t>
      </w:r>
      <w:r w:rsidR="00C0148A" w:rsidRPr="00C4795A">
        <w:rPr>
          <w:rFonts w:ascii="Times New Roman" w:hAnsi="Times New Roman" w:cs="Times New Roman"/>
          <w:sz w:val="25"/>
          <w:szCs w:val="25"/>
        </w:rPr>
        <w:t>‘</w:t>
      </w:r>
      <w:r w:rsidRPr="00C4795A">
        <w:rPr>
          <w:rFonts w:ascii="Times New Roman" w:hAnsi="Times New Roman" w:cs="Times New Roman"/>
          <w:sz w:val="25"/>
          <w:szCs w:val="25"/>
        </w:rPr>
        <w:t>materialmente costituzionali</w:t>
      </w:r>
      <w:r w:rsidR="00440A28" w:rsidRPr="00C4795A">
        <w:rPr>
          <w:rFonts w:ascii="Times New Roman" w:hAnsi="Times New Roman" w:cs="Times New Roman"/>
          <w:sz w:val="25"/>
          <w:szCs w:val="25"/>
        </w:rPr>
        <w:t>’</w:t>
      </w:r>
      <w:r w:rsidRPr="00C4795A">
        <w:rPr>
          <w:rFonts w:ascii="Times New Roman" w:hAnsi="Times New Roman" w:cs="Times New Roman"/>
          <w:sz w:val="25"/>
          <w:szCs w:val="25"/>
        </w:rPr>
        <w:t xml:space="preserve"> della disciplina unionale</w:t>
      </w:r>
      <w:r w:rsidRPr="00C4795A">
        <w:rPr>
          <w:rStyle w:val="Rimandonotaapidipagina"/>
          <w:rFonts w:ascii="Times New Roman" w:hAnsi="Times New Roman" w:cs="Times New Roman"/>
          <w:sz w:val="25"/>
          <w:szCs w:val="25"/>
        </w:rPr>
        <w:footnoteReference w:id="25"/>
      </w:r>
      <w:r w:rsidRPr="00C4795A">
        <w:rPr>
          <w:rFonts w:ascii="Times New Roman" w:hAnsi="Times New Roman" w:cs="Times New Roman"/>
          <w:sz w:val="25"/>
          <w:szCs w:val="25"/>
        </w:rPr>
        <w:t xml:space="preserve">. Questo è puntualmente accaduto: nella sentenza n. 20 del 2019 vi era già stato un passo in avanti, quando si è statuito che, per radicare la giurisdizione </w:t>
      </w:r>
      <w:r w:rsidR="00440A28" w:rsidRPr="00C4795A">
        <w:rPr>
          <w:rFonts w:ascii="Times New Roman" w:hAnsi="Times New Roman" w:cs="Times New Roman"/>
          <w:sz w:val="25"/>
          <w:szCs w:val="25"/>
        </w:rPr>
        <w:t>della Consulta</w:t>
      </w:r>
      <w:r w:rsidRPr="00C4795A">
        <w:rPr>
          <w:rFonts w:ascii="Times New Roman" w:hAnsi="Times New Roman" w:cs="Times New Roman"/>
          <w:sz w:val="25"/>
          <w:szCs w:val="25"/>
        </w:rPr>
        <w:t>, era sufficiente che vi fosse una ‘connessione’ della norma unionale con la Carta dei diritti</w:t>
      </w:r>
      <w:r w:rsidRPr="00C4795A">
        <w:rPr>
          <w:rStyle w:val="Rimandonotaapidipagina"/>
          <w:rFonts w:ascii="Times New Roman" w:hAnsi="Times New Roman" w:cs="Times New Roman"/>
          <w:sz w:val="25"/>
          <w:szCs w:val="25"/>
        </w:rPr>
        <w:footnoteReference w:id="26"/>
      </w:r>
      <w:r w:rsidRPr="00C4795A">
        <w:rPr>
          <w:rFonts w:ascii="Times New Roman" w:hAnsi="Times New Roman" w:cs="Times New Roman"/>
          <w:sz w:val="25"/>
          <w:szCs w:val="25"/>
        </w:rPr>
        <w:t xml:space="preserve">; ma è stata soltanto la sentenza n. 181 del 2024 a stabilire che per sollevare la </w:t>
      </w:r>
      <w:r w:rsidRPr="00C4795A">
        <w:rPr>
          <w:rFonts w:ascii="Times New Roman" w:hAnsi="Times New Roman" w:cs="Times New Roman"/>
          <w:i/>
          <w:iCs/>
          <w:sz w:val="25"/>
          <w:szCs w:val="25"/>
        </w:rPr>
        <w:t xml:space="preserve">quaestio </w:t>
      </w:r>
      <w:proofErr w:type="spellStart"/>
      <w:r w:rsidRPr="00C4795A">
        <w:rPr>
          <w:rFonts w:ascii="Times New Roman" w:hAnsi="Times New Roman" w:cs="Times New Roman"/>
          <w:i/>
          <w:iCs/>
          <w:sz w:val="25"/>
          <w:szCs w:val="25"/>
        </w:rPr>
        <w:t>legitimitatis</w:t>
      </w:r>
      <w:proofErr w:type="spellEnd"/>
      <w:r w:rsidRPr="00C4795A">
        <w:rPr>
          <w:rFonts w:ascii="Times New Roman" w:hAnsi="Times New Roman" w:cs="Times New Roman"/>
          <w:sz w:val="25"/>
          <w:szCs w:val="25"/>
        </w:rPr>
        <w:t xml:space="preserve"> è sufficiente che la violazione del diritto UE mostri un legame con parametri costituzionali interni, che esibisca un ‘tono costituzionale’</w:t>
      </w:r>
      <w:r w:rsidRPr="00C4795A">
        <w:rPr>
          <w:rStyle w:val="Rimandonotaapidipagina"/>
          <w:rFonts w:ascii="Times New Roman" w:hAnsi="Times New Roman" w:cs="Times New Roman"/>
          <w:sz w:val="25"/>
          <w:szCs w:val="25"/>
        </w:rPr>
        <w:footnoteReference w:id="27"/>
      </w:r>
      <w:r w:rsidRPr="00C4795A">
        <w:rPr>
          <w:rFonts w:ascii="Times New Roman" w:hAnsi="Times New Roman" w:cs="Times New Roman"/>
          <w:sz w:val="25"/>
          <w:szCs w:val="25"/>
        </w:rPr>
        <w:t xml:space="preserve">. In tal modo sono stati posti in termini di piena alternatività processuale i due rimedi della disapplicazione </w:t>
      </w:r>
      <w:proofErr w:type="gramStart"/>
      <w:r w:rsidRPr="00C4795A">
        <w:rPr>
          <w:rFonts w:ascii="Times New Roman" w:hAnsi="Times New Roman" w:cs="Times New Roman"/>
          <w:i/>
          <w:iCs/>
          <w:sz w:val="25"/>
          <w:szCs w:val="25"/>
        </w:rPr>
        <w:t>inter partes</w:t>
      </w:r>
      <w:proofErr w:type="gramEnd"/>
      <w:r w:rsidRPr="00C4795A">
        <w:rPr>
          <w:rFonts w:ascii="Times New Roman" w:hAnsi="Times New Roman" w:cs="Times New Roman"/>
          <w:sz w:val="25"/>
          <w:szCs w:val="25"/>
        </w:rPr>
        <w:t xml:space="preserve"> e della proposizione di un incidente costituzionale.</w:t>
      </w:r>
      <w:r w:rsidRPr="00C4795A">
        <w:rPr>
          <w:rFonts w:ascii="Arial" w:hAnsi="Arial" w:cs="Arial"/>
          <w:sz w:val="24"/>
          <w:szCs w:val="24"/>
        </w:rPr>
        <w:t xml:space="preserve"> </w:t>
      </w:r>
    </w:p>
    <w:p w14:paraId="40EC1B0B" w14:textId="12C181D3" w:rsidR="00222163" w:rsidRPr="00C4795A" w:rsidRDefault="00222163" w:rsidP="000E39B0">
      <w:pPr>
        <w:pStyle w:val="Paragrafoelenco"/>
        <w:ind w:left="0"/>
        <w:jc w:val="both"/>
        <w:rPr>
          <w:rFonts w:ascii="Arial" w:hAnsi="Arial" w:cs="Arial"/>
          <w:sz w:val="24"/>
          <w:szCs w:val="24"/>
        </w:rPr>
      </w:pPr>
      <w:r w:rsidRPr="00C4795A">
        <w:rPr>
          <w:rFonts w:ascii="Arial" w:hAnsi="Arial" w:cs="Arial"/>
          <w:sz w:val="24"/>
          <w:szCs w:val="24"/>
        </w:rPr>
        <w:t xml:space="preserve"> </w:t>
      </w:r>
    </w:p>
    <w:p w14:paraId="05116907" w14:textId="77777777" w:rsidR="000E39B0" w:rsidRPr="00C4795A" w:rsidRDefault="000E39B0" w:rsidP="000E39B0">
      <w:pPr>
        <w:pStyle w:val="Paragrafoelenco"/>
        <w:ind w:left="0"/>
        <w:jc w:val="both"/>
        <w:rPr>
          <w:rFonts w:ascii="Arial" w:hAnsi="Arial" w:cs="Arial"/>
          <w:sz w:val="24"/>
          <w:szCs w:val="24"/>
        </w:rPr>
      </w:pPr>
    </w:p>
    <w:p w14:paraId="6D365F16" w14:textId="778F70DB" w:rsidR="002235F2" w:rsidRPr="00C4795A" w:rsidRDefault="002235F2" w:rsidP="000E39B0">
      <w:pPr>
        <w:pStyle w:val="Paragrafoelenco"/>
        <w:ind w:left="0"/>
        <w:jc w:val="both"/>
        <w:rPr>
          <w:rFonts w:ascii="Times New Roman" w:hAnsi="Times New Roman" w:cs="Times New Roman"/>
          <w:b/>
          <w:bCs/>
          <w:i/>
          <w:iCs/>
          <w:sz w:val="24"/>
          <w:szCs w:val="24"/>
        </w:rPr>
      </w:pPr>
      <w:bookmarkStart w:id="0" w:name="_Hlk218677476"/>
      <w:r w:rsidRPr="00C4795A">
        <w:rPr>
          <w:rFonts w:ascii="Times New Roman" w:hAnsi="Times New Roman" w:cs="Times New Roman"/>
          <w:b/>
          <w:bCs/>
          <w:i/>
          <w:iCs/>
          <w:sz w:val="24"/>
          <w:szCs w:val="24"/>
        </w:rPr>
        <w:t>II. La regola 181 e l</w:t>
      </w:r>
      <w:r w:rsidR="00D93E7B" w:rsidRPr="00C4795A">
        <w:rPr>
          <w:rFonts w:ascii="Times New Roman" w:hAnsi="Times New Roman" w:cs="Times New Roman"/>
          <w:b/>
          <w:bCs/>
          <w:i/>
          <w:iCs/>
          <w:sz w:val="24"/>
          <w:szCs w:val="24"/>
        </w:rPr>
        <w:t>’</w:t>
      </w:r>
      <w:r w:rsidRPr="00C4795A">
        <w:rPr>
          <w:rFonts w:ascii="Times New Roman" w:hAnsi="Times New Roman" w:cs="Times New Roman"/>
          <w:b/>
          <w:bCs/>
          <w:i/>
          <w:iCs/>
          <w:sz w:val="24"/>
          <w:szCs w:val="24"/>
        </w:rPr>
        <w:t xml:space="preserve">alternatività dei rimedi della disapplicazione </w:t>
      </w:r>
      <w:proofErr w:type="gramStart"/>
      <w:r w:rsidRPr="00C4795A">
        <w:rPr>
          <w:rFonts w:ascii="Times New Roman" w:hAnsi="Times New Roman" w:cs="Times New Roman"/>
          <w:b/>
          <w:bCs/>
          <w:sz w:val="24"/>
          <w:szCs w:val="24"/>
        </w:rPr>
        <w:t>inter partes</w:t>
      </w:r>
      <w:proofErr w:type="gramEnd"/>
      <w:r w:rsidRPr="00C4795A">
        <w:rPr>
          <w:rFonts w:ascii="Times New Roman" w:hAnsi="Times New Roman" w:cs="Times New Roman"/>
          <w:b/>
          <w:bCs/>
          <w:i/>
          <w:iCs/>
          <w:sz w:val="24"/>
          <w:szCs w:val="24"/>
        </w:rPr>
        <w:t xml:space="preserve"> e del sindacato costituzionale: scenari e problemi applicativi.</w:t>
      </w:r>
    </w:p>
    <w:p w14:paraId="1ED8665B" w14:textId="6B361DE8" w:rsidR="00A57426" w:rsidRPr="00C4795A" w:rsidRDefault="00DF090B" w:rsidP="000E39B0">
      <w:pPr>
        <w:jc w:val="both"/>
        <w:rPr>
          <w:rFonts w:ascii="Times New Roman" w:hAnsi="Times New Roman" w:cs="Times New Roman"/>
          <w:sz w:val="24"/>
          <w:szCs w:val="24"/>
        </w:rPr>
      </w:pPr>
      <w:r w:rsidRPr="00C4795A">
        <w:rPr>
          <w:rFonts w:ascii="Times New Roman" w:hAnsi="Times New Roman" w:cs="Times New Roman"/>
          <w:sz w:val="24"/>
          <w:szCs w:val="24"/>
        </w:rPr>
        <w:t xml:space="preserve">La sentenza </w:t>
      </w:r>
      <w:r w:rsidR="00B41014" w:rsidRPr="00C4795A">
        <w:rPr>
          <w:rFonts w:ascii="Times New Roman" w:hAnsi="Times New Roman" w:cs="Times New Roman"/>
          <w:sz w:val="24"/>
          <w:szCs w:val="24"/>
        </w:rPr>
        <w:t xml:space="preserve">n. </w:t>
      </w:r>
      <w:r w:rsidRPr="00C4795A">
        <w:rPr>
          <w:rFonts w:ascii="Times New Roman" w:hAnsi="Times New Roman" w:cs="Times New Roman"/>
          <w:sz w:val="24"/>
          <w:szCs w:val="24"/>
        </w:rPr>
        <w:t>181</w:t>
      </w:r>
      <w:r w:rsidR="00B41014" w:rsidRPr="00C4795A">
        <w:rPr>
          <w:rFonts w:ascii="Times New Roman" w:hAnsi="Times New Roman" w:cs="Times New Roman"/>
          <w:sz w:val="24"/>
          <w:szCs w:val="24"/>
        </w:rPr>
        <w:t xml:space="preserve"> del 2024</w:t>
      </w:r>
      <w:r w:rsidR="002235F2" w:rsidRPr="00C4795A">
        <w:rPr>
          <w:rFonts w:ascii="Times New Roman" w:hAnsi="Times New Roman" w:cs="Times New Roman"/>
          <w:sz w:val="24"/>
          <w:szCs w:val="24"/>
        </w:rPr>
        <w:t>, nel porre in termini pienamente alternativi la via unionale e quella interna</w:t>
      </w:r>
      <w:r w:rsidR="001E2341" w:rsidRPr="00C4795A">
        <w:rPr>
          <w:rFonts w:ascii="Times New Roman" w:hAnsi="Times New Roman" w:cs="Times New Roman"/>
          <w:sz w:val="24"/>
          <w:szCs w:val="24"/>
        </w:rPr>
        <w:t xml:space="preserve">, </w:t>
      </w:r>
      <w:r w:rsidRPr="00C4795A">
        <w:rPr>
          <w:rFonts w:ascii="Times New Roman" w:hAnsi="Times New Roman" w:cs="Times New Roman"/>
          <w:sz w:val="24"/>
          <w:szCs w:val="24"/>
        </w:rPr>
        <w:t>ravvisa nel controllo costituzionale un complemento sostanziale della disapplicazione diretta</w:t>
      </w:r>
      <w:r w:rsidR="00F72B8B" w:rsidRPr="00C4795A">
        <w:rPr>
          <w:rFonts w:ascii="Times New Roman" w:hAnsi="Times New Roman" w:cs="Times New Roman"/>
          <w:sz w:val="24"/>
          <w:szCs w:val="24"/>
        </w:rPr>
        <w:t xml:space="preserve"> e</w:t>
      </w:r>
      <w:r w:rsidRPr="00C4795A">
        <w:rPr>
          <w:rFonts w:ascii="Times New Roman" w:hAnsi="Times New Roman" w:cs="Times New Roman"/>
          <w:sz w:val="24"/>
          <w:szCs w:val="24"/>
        </w:rPr>
        <w:t xml:space="preserve"> un rafforzamento del primato</w:t>
      </w:r>
      <w:r w:rsidR="001E2341" w:rsidRPr="00C4795A">
        <w:rPr>
          <w:rFonts w:ascii="Times New Roman" w:hAnsi="Times New Roman" w:cs="Times New Roman"/>
          <w:sz w:val="24"/>
          <w:szCs w:val="24"/>
        </w:rPr>
        <w:t>,</w:t>
      </w:r>
      <w:r w:rsidRPr="00C4795A">
        <w:rPr>
          <w:rFonts w:ascii="Times New Roman" w:hAnsi="Times New Roman" w:cs="Times New Roman"/>
          <w:sz w:val="24"/>
          <w:szCs w:val="24"/>
        </w:rPr>
        <w:t xml:space="preserve"> per l</w:t>
      </w:r>
      <w:r w:rsidR="001E2341" w:rsidRPr="00C4795A">
        <w:rPr>
          <w:rFonts w:ascii="Times New Roman" w:hAnsi="Times New Roman" w:cs="Times New Roman"/>
          <w:sz w:val="24"/>
          <w:szCs w:val="24"/>
        </w:rPr>
        <w:t xml:space="preserve">’effetto </w:t>
      </w:r>
      <w:r w:rsidRPr="00C4795A">
        <w:rPr>
          <w:rFonts w:ascii="Times New Roman" w:hAnsi="Times New Roman" w:cs="Times New Roman"/>
          <w:i/>
          <w:iCs/>
          <w:sz w:val="24"/>
          <w:szCs w:val="24"/>
        </w:rPr>
        <w:t>erga omnes</w:t>
      </w:r>
      <w:r w:rsidR="0044001F" w:rsidRPr="00C4795A">
        <w:rPr>
          <w:rFonts w:ascii="Times New Roman" w:hAnsi="Times New Roman" w:cs="Times New Roman"/>
          <w:i/>
          <w:iCs/>
          <w:sz w:val="24"/>
          <w:szCs w:val="24"/>
        </w:rPr>
        <w:t xml:space="preserve"> </w:t>
      </w:r>
      <w:r w:rsidR="0044001F" w:rsidRPr="00C4795A">
        <w:rPr>
          <w:rFonts w:ascii="Times New Roman" w:hAnsi="Times New Roman" w:cs="Times New Roman"/>
          <w:sz w:val="24"/>
          <w:szCs w:val="24"/>
        </w:rPr>
        <w:t>della</w:t>
      </w:r>
      <w:r w:rsidR="0044001F" w:rsidRPr="00C4795A">
        <w:rPr>
          <w:rFonts w:ascii="Times New Roman" w:hAnsi="Times New Roman" w:cs="Times New Roman"/>
          <w:i/>
          <w:iCs/>
          <w:sz w:val="24"/>
          <w:szCs w:val="24"/>
        </w:rPr>
        <w:t xml:space="preserve"> </w:t>
      </w:r>
      <w:r w:rsidRPr="00C4795A">
        <w:rPr>
          <w:rFonts w:ascii="Times New Roman" w:hAnsi="Times New Roman" w:cs="Times New Roman"/>
          <w:sz w:val="24"/>
          <w:szCs w:val="24"/>
        </w:rPr>
        <w:t>declaratoria</w:t>
      </w:r>
      <w:r w:rsidR="0044001F" w:rsidRPr="00C4795A">
        <w:rPr>
          <w:rFonts w:ascii="Times New Roman" w:hAnsi="Times New Roman" w:cs="Times New Roman"/>
          <w:sz w:val="24"/>
          <w:szCs w:val="24"/>
        </w:rPr>
        <w:t xml:space="preserve"> </w:t>
      </w:r>
      <w:r w:rsidRPr="00C4795A">
        <w:rPr>
          <w:rFonts w:ascii="Times New Roman" w:hAnsi="Times New Roman" w:cs="Times New Roman"/>
          <w:sz w:val="24"/>
          <w:szCs w:val="24"/>
        </w:rPr>
        <w:t>di incostituzionalità</w:t>
      </w:r>
      <w:r w:rsidR="00944077" w:rsidRPr="00C4795A">
        <w:rPr>
          <w:rStyle w:val="Rimandonotaapidipagina"/>
          <w:rFonts w:ascii="Times New Roman" w:hAnsi="Times New Roman" w:cs="Times New Roman"/>
          <w:sz w:val="24"/>
          <w:szCs w:val="24"/>
        </w:rPr>
        <w:footnoteReference w:id="28"/>
      </w:r>
      <w:r w:rsidRPr="00C4795A">
        <w:rPr>
          <w:rFonts w:ascii="Times New Roman" w:hAnsi="Times New Roman" w:cs="Times New Roman"/>
          <w:sz w:val="24"/>
          <w:szCs w:val="24"/>
        </w:rPr>
        <w:t xml:space="preserve">. </w:t>
      </w:r>
      <w:r w:rsidR="00F72B8B" w:rsidRPr="00C4795A">
        <w:rPr>
          <w:rFonts w:ascii="Times New Roman" w:hAnsi="Times New Roman" w:cs="Times New Roman"/>
          <w:sz w:val="24"/>
          <w:szCs w:val="24"/>
        </w:rPr>
        <w:t xml:space="preserve">E </w:t>
      </w:r>
      <w:r w:rsidR="00F72B8B" w:rsidRPr="00C4795A">
        <w:rPr>
          <w:rFonts w:ascii="Times New Roman" w:hAnsi="Times New Roman" w:cs="Times New Roman"/>
          <w:sz w:val="24"/>
          <w:szCs w:val="24"/>
        </w:rPr>
        <w:lastRenderedPageBreak/>
        <w:t>riprendendo pronunce precedenti, enumera i vantaggi esibiti dal</w:t>
      </w:r>
      <w:r w:rsidR="001E2341" w:rsidRPr="00C4795A">
        <w:rPr>
          <w:rFonts w:ascii="Times New Roman" w:hAnsi="Times New Roman" w:cs="Times New Roman"/>
          <w:sz w:val="24"/>
          <w:szCs w:val="24"/>
        </w:rPr>
        <w:t xml:space="preserve"> sindacato accentrato</w:t>
      </w:r>
      <w:r w:rsidR="002235F2" w:rsidRPr="00C4795A">
        <w:rPr>
          <w:rFonts w:ascii="Times New Roman" w:hAnsi="Times New Roman" w:cs="Times New Roman"/>
          <w:sz w:val="24"/>
          <w:szCs w:val="24"/>
        </w:rPr>
        <w:t xml:space="preserve">, che </w:t>
      </w:r>
      <w:r w:rsidR="006C367E" w:rsidRPr="00C4795A">
        <w:rPr>
          <w:rFonts w:ascii="Times New Roman" w:hAnsi="Times New Roman" w:cs="Times New Roman"/>
          <w:sz w:val="24"/>
          <w:szCs w:val="24"/>
        </w:rPr>
        <w:t xml:space="preserve">sono stati censiti con molta precisione in uno scritto di </w:t>
      </w:r>
      <w:r w:rsidR="00035560" w:rsidRPr="00C4795A">
        <w:rPr>
          <w:rFonts w:ascii="Times New Roman" w:hAnsi="Times New Roman" w:cs="Times New Roman"/>
          <w:sz w:val="24"/>
          <w:szCs w:val="24"/>
        </w:rPr>
        <w:t xml:space="preserve">Francesco </w:t>
      </w:r>
      <w:r w:rsidR="006C367E" w:rsidRPr="00C4795A">
        <w:rPr>
          <w:rFonts w:ascii="Times New Roman" w:hAnsi="Times New Roman" w:cs="Times New Roman"/>
          <w:sz w:val="24"/>
          <w:szCs w:val="24"/>
        </w:rPr>
        <w:t>Viganò a cui faccio rinvio</w:t>
      </w:r>
      <w:r w:rsidR="006C367E" w:rsidRPr="00C4795A">
        <w:rPr>
          <w:rStyle w:val="Rimandonotaapidipagina"/>
          <w:rFonts w:ascii="Times New Roman" w:hAnsi="Times New Roman" w:cs="Times New Roman"/>
          <w:sz w:val="24"/>
          <w:szCs w:val="24"/>
        </w:rPr>
        <w:footnoteReference w:id="29"/>
      </w:r>
      <w:r w:rsidR="006C367E" w:rsidRPr="00C4795A">
        <w:rPr>
          <w:rFonts w:ascii="Times New Roman" w:hAnsi="Times New Roman" w:cs="Times New Roman"/>
          <w:sz w:val="24"/>
          <w:szCs w:val="24"/>
        </w:rPr>
        <w:t xml:space="preserve">. Se </w:t>
      </w:r>
      <w:r w:rsidR="00F72B8B" w:rsidRPr="00C4795A">
        <w:rPr>
          <w:rFonts w:ascii="Times New Roman" w:hAnsi="Times New Roman" w:cs="Times New Roman"/>
          <w:sz w:val="24"/>
          <w:szCs w:val="24"/>
        </w:rPr>
        <w:t xml:space="preserve">ne può aggiungere uno ulteriore, </w:t>
      </w:r>
      <w:r w:rsidR="00D6334D" w:rsidRPr="00C4795A">
        <w:rPr>
          <w:rFonts w:ascii="Times New Roman" w:hAnsi="Times New Roman" w:cs="Times New Roman"/>
          <w:sz w:val="24"/>
          <w:szCs w:val="24"/>
        </w:rPr>
        <w:t>collocandoci ne</w:t>
      </w:r>
      <w:r w:rsidR="0085527C" w:rsidRPr="00C4795A">
        <w:rPr>
          <w:rFonts w:ascii="Times New Roman" w:hAnsi="Times New Roman" w:cs="Times New Roman"/>
          <w:sz w:val="24"/>
          <w:szCs w:val="24"/>
        </w:rPr>
        <w:t xml:space="preserve">lla prospettiva teorica </w:t>
      </w:r>
      <w:r w:rsidR="00D6334D" w:rsidRPr="00C4795A">
        <w:rPr>
          <w:rFonts w:ascii="Times New Roman" w:hAnsi="Times New Roman" w:cs="Times New Roman"/>
          <w:sz w:val="24"/>
          <w:szCs w:val="24"/>
        </w:rPr>
        <w:t>illustrata nel prologo</w:t>
      </w:r>
      <w:r w:rsidR="0085527C" w:rsidRPr="00C4795A">
        <w:rPr>
          <w:rFonts w:ascii="Times New Roman" w:hAnsi="Times New Roman" w:cs="Times New Roman"/>
          <w:sz w:val="24"/>
          <w:szCs w:val="24"/>
        </w:rPr>
        <w:t>,</w:t>
      </w:r>
      <w:r w:rsidR="001E2341" w:rsidRPr="00C4795A">
        <w:rPr>
          <w:rFonts w:ascii="Times New Roman" w:hAnsi="Times New Roman" w:cs="Times New Roman"/>
          <w:sz w:val="24"/>
          <w:szCs w:val="24"/>
        </w:rPr>
        <w:t xml:space="preserve"> che </w:t>
      </w:r>
      <w:r w:rsidR="0044001F" w:rsidRPr="00C4795A">
        <w:rPr>
          <w:rFonts w:ascii="Times New Roman" w:hAnsi="Times New Roman" w:cs="Times New Roman"/>
          <w:sz w:val="24"/>
          <w:szCs w:val="24"/>
        </w:rPr>
        <w:t>vede n</w:t>
      </w:r>
      <w:r w:rsidR="00F72B8B" w:rsidRPr="00C4795A">
        <w:rPr>
          <w:rFonts w:ascii="Times New Roman" w:hAnsi="Times New Roman" w:cs="Times New Roman"/>
          <w:sz w:val="24"/>
          <w:szCs w:val="24"/>
        </w:rPr>
        <w:t xml:space="preserve">el giudizio costituzionale </w:t>
      </w:r>
      <w:r w:rsidR="001E2341" w:rsidRPr="00C4795A">
        <w:rPr>
          <w:rFonts w:ascii="Times New Roman" w:hAnsi="Times New Roman" w:cs="Times New Roman"/>
          <w:sz w:val="24"/>
          <w:szCs w:val="24"/>
        </w:rPr>
        <w:t xml:space="preserve">il </w:t>
      </w:r>
      <w:r w:rsidR="00F72B8B" w:rsidRPr="00C4795A">
        <w:rPr>
          <w:rFonts w:ascii="Times New Roman" w:hAnsi="Times New Roman" w:cs="Times New Roman"/>
          <w:sz w:val="24"/>
          <w:szCs w:val="24"/>
        </w:rPr>
        <w:t xml:space="preserve">presidio della dimensione </w:t>
      </w:r>
      <w:r w:rsidR="00A671CD" w:rsidRPr="00C4795A">
        <w:rPr>
          <w:rFonts w:ascii="Times New Roman" w:hAnsi="Times New Roman" w:cs="Times New Roman"/>
          <w:sz w:val="24"/>
          <w:szCs w:val="24"/>
        </w:rPr>
        <w:t>‘</w:t>
      </w:r>
      <w:r w:rsidR="00F72B8B" w:rsidRPr="00C4795A">
        <w:rPr>
          <w:rFonts w:ascii="Times New Roman" w:hAnsi="Times New Roman" w:cs="Times New Roman"/>
          <w:sz w:val="24"/>
          <w:szCs w:val="24"/>
        </w:rPr>
        <w:t>politica</w:t>
      </w:r>
      <w:r w:rsidR="00A671CD" w:rsidRPr="00C4795A">
        <w:rPr>
          <w:rFonts w:ascii="Times New Roman" w:hAnsi="Times New Roman" w:cs="Times New Roman"/>
          <w:sz w:val="24"/>
          <w:szCs w:val="24"/>
        </w:rPr>
        <w:t>’</w:t>
      </w:r>
      <w:r w:rsidR="00F72B8B" w:rsidRPr="00C4795A">
        <w:rPr>
          <w:rFonts w:ascii="Times New Roman" w:hAnsi="Times New Roman" w:cs="Times New Roman"/>
          <w:sz w:val="24"/>
          <w:szCs w:val="24"/>
        </w:rPr>
        <w:t xml:space="preserve"> dei diritti fondamentali: la possibilità di fare un uso strategico delle </w:t>
      </w:r>
      <w:r w:rsidR="00F72B8B" w:rsidRPr="00C4795A">
        <w:rPr>
          <w:rFonts w:ascii="Times New Roman" w:hAnsi="Times New Roman" w:cs="Times New Roman"/>
          <w:i/>
          <w:iCs/>
          <w:sz w:val="24"/>
          <w:szCs w:val="24"/>
        </w:rPr>
        <w:t>virtù passive</w:t>
      </w:r>
      <w:r w:rsidR="00F72B8B" w:rsidRPr="00C4795A">
        <w:rPr>
          <w:rFonts w:ascii="Times New Roman" w:hAnsi="Times New Roman" w:cs="Times New Roman"/>
          <w:sz w:val="24"/>
          <w:szCs w:val="24"/>
        </w:rPr>
        <w:t xml:space="preserve">. </w:t>
      </w:r>
      <w:r w:rsidR="0044001F" w:rsidRPr="00C4795A">
        <w:rPr>
          <w:rFonts w:ascii="Times New Roman" w:hAnsi="Times New Roman" w:cs="Times New Roman"/>
          <w:sz w:val="24"/>
          <w:szCs w:val="24"/>
        </w:rPr>
        <w:t>Si tratta della scelta d</w:t>
      </w:r>
      <w:r w:rsidR="00F72B8B" w:rsidRPr="00C4795A">
        <w:rPr>
          <w:rFonts w:ascii="Times New Roman" w:hAnsi="Times New Roman" w:cs="Times New Roman"/>
          <w:sz w:val="24"/>
          <w:szCs w:val="24"/>
        </w:rPr>
        <w:t xml:space="preserve">i </w:t>
      </w:r>
      <w:r w:rsidR="00F72B8B" w:rsidRPr="00C4795A">
        <w:rPr>
          <w:rFonts w:ascii="Times New Roman" w:hAnsi="Times New Roman" w:cs="Times New Roman"/>
          <w:i/>
          <w:iCs/>
          <w:sz w:val="24"/>
          <w:szCs w:val="24"/>
        </w:rPr>
        <w:t>non decidere</w:t>
      </w:r>
      <w:r w:rsidR="00F72B8B" w:rsidRPr="00C4795A">
        <w:rPr>
          <w:rFonts w:ascii="Times New Roman" w:hAnsi="Times New Roman" w:cs="Times New Roman"/>
          <w:sz w:val="24"/>
          <w:szCs w:val="24"/>
        </w:rPr>
        <w:t>, quando la questione oggetto della pronuncia frammenta la società sul piano ideale e il collegio decidente, a sua volta diviso, si astiene dall’assumere una posizione che sarebbe percepita come irragionevole da larghi strati dell’opinione pubblica e preferisce lasciare al processo politico</w:t>
      </w:r>
      <w:r w:rsidR="0053728E" w:rsidRPr="00C4795A">
        <w:rPr>
          <w:rFonts w:ascii="Times New Roman" w:hAnsi="Times New Roman" w:cs="Times New Roman"/>
          <w:sz w:val="24"/>
          <w:szCs w:val="24"/>
        </w:rPr>
        <w:t xml:space="preserve">, </w:t>
      </w:r>
      <w:r w:rsidR="000A5BB3" w:rsidRPr="00C4795A">
        <w:rPr>
          <w:rFonts w:ascii="Times New Roman" w:hAnsi="Times New Roman" w:cs="Times New Roman"/>
          <w:sz w:val="24"/>
          <w:szCs w:val="24"/>
        </w:rPr>
        <w:t>come è proprio della logica democratica</w:t>
      </w:r>
      <w:r w:rsidR="0053728E" w:rsidRPr="00C4795A">
        <w:rPr>
          <w:rFonts w:ascii="Times New Roman" w:hAnsi="Times New Roman" w:cs="Times New Roman"/>
          <w:sz w:val="24"/>
          <w:szCs w:val="24"/>
        </w:rPr>
        <w:t>,</w:t>
      </w:r>
      <w:r w:rsidR="000A5BB3" w:rsidRPr="00C4795A">
        <w:rPr>
          <w:rFonts w:ascii="Times New Roman" w:hAnsi="Times New Roman" w:cs="Times New Roman"/>
          <w:sz w:val="24"/>
          <w:szCs w:val="24"/>
        </w:rPr>
        <w:t xml:space="preserve"> </w:t>
      </w:r>
      <w:r w:rsidR="00F72B8B" w:rsidRPr="00C4795A">
        <w:rPr>
          <w:rFonts w:ascii="Times New Roman" w:hAnsi="Times New Roman" w:cs="Times New Roman"/>
          <w:sz w:val="24"/>
          <w:szCs w:val="24"/>
        </w:rPr>
        <w:t xml:space="preserve">la responsabilità di imporre alla </w:t>
      </w:r>
      <w:r w:rsidR="00F72B8B" w:rsidRPr="00C4795A">
        <w:rPr>
          <w:rFonts w:ascii="Times New Roman" w:hAnsi="Times New Roman" w:cs="Times New Roman"/>
          <w:i/>
          <w:iCs/>
          <w:sz w:val="24"/>
          <w:szCs w:val="24"/>
        </w:rPr>
        <w:t>minor pars</w:t>
      </w:r>
      <w:r w:rsidR="00F72B8B" w:rsidRPr="00C4795A">
        <w:rPr>
          <w:rFonts w:ascii="Times New Roman" w:hAnsi="Times New Roman" w:cs="Times New Roman"/>
          <w:sz w:val="24"/>
          <w:szCs w:val="24"/>
        </w:rPr>
        <w:t xml:space="preserve"> una </w:t>
      </w:r>
      <w:r w:rsidR="0085527C" w:rsidRPr="00C4795A">
        <w:rPr>
          <w:rFonts w:ascii="Times New Roman" w:hAnsi="Times New Roman" w:cs="Times New Roman"/>
          <w:sz w:val="24"/>
          <w:szCs w:val="24"/>
        </w:rPr>
        <w:t xml:space="preserve">decisione </w:t>
      </w:r>
      <w:r w:rsidR="00F72B8B" w:rsidRPr="00C4795A">
        <w:rPr>
          <w:rFonts w:ascii="Times New Roman" w:hAnsi="Times New Roman" w:cs="Times New Roman"/>
          <w:sz w:val="24"/>
          <w:szCs w:val="24"/>
        </w:rPr>
        <w:t>comunque divisiva e indigesta</w:t>
      </w:r>
      <w:r w:rsidR="002E0DEF" w:rsidRPr="00C4795A">
        <w:rPr>
          <w:rStyle w:val="Rimandonotaapidipagina"/>
          <w:rFonts w:ascii="Times New Roman" w:hAnsi="Times New Roman" w:cs="Times New Roman"/>
          <w:sz w:val="24"/>
          <w:szCs w:val="24"/>
        </w:rPr>
        <w:footnoteReference w:id="30"/>
      </w:r>
      <w:r w:rsidR="00B41014" w:rsidRPr="00C4795A">
        <w:rPr>
          <w:rFonts w:ascii="Times New Roman" w:hAnsi="Times New Roman" w:cs="Times New Roman"/>
          <w:sz w:val="24"/>
          <w:szCs w:val="24"/>
        </w:rPr>
        <w:t>.</w:t>
      </w:r>
    </w:p>
    <w:p w14:paraId="0E3E0FBA" w14:textId="21830A67" w:rsidR="004E3108" w:rsidRPr="00C4795A" w:rsidRDefault="0085527C" w:rsidP="000E39B0">
      <w:pPr>
        <w:spacing w:after="0"/>
        <w:jc w:val="both"/>
        <w:rPr>
          <w:rFonts w:ascii="Times New Roman" w:hAnsi="Times New Roman" w:cs="Times New Roman"/>
          <w:sz w:val="24"/>
          <w:szCs w:val="24"/>
        </w:rPr>
      </w:pPr>
      <w:r w:rsidRPr="00C4795A">
        <w:rPr>
          <w:rFonts w:ascii="Times New Roman" w:hAnsi="Times New Roman" w:cs="Times New Roman"/>
          <w:sz w:val="24"/>
          <w:szCs w:val="24"/>
        </w:rPr>
        <w:t>Vasta e autorevole dottrina, in sede di commento alla sentenza n. 181, ha riconosciuto la consistenza degli argomenti spesi dalla Corte per perorare il ricorso al</w:t>
      </w:r>
      <w:r w:rsidR="00D6334D" w:rsidRPr="00C4795A">
        <w:rPr>
          <w:rFonts w:ascii="Times New Roman" w:hAnsi="Times New Roman" w:cs="Times New Roman"/>
          <w:sz w:val="24"/>
          <w:szCs w:val="24"/>
        </w:rPr>
        <w:t xml:space="preserve"> giudizio incidentale</w:t>
      </w:r>
      <w:r w:rsidRPr="00C4795A">
        <w:rPr>
          <w:rFonts w:ascii="Times New Roman" w:hAnsi="Times New Roman" w:cs="Times New Roman"/>
          <w:sz w:val="24"/>
          <w:szCs w:val="24"/>
        </w:rPr>
        <w:t xml:space="preserve">, e paventato il rischio di marginalizzazione del </w:t>
      </w:r>
      <w:r w:rsidRPr="00C4795A">
        <w:rPr>
          <w:rFonts w:ascii="Times New Roman" w:hAnsi="Times New Roman" w:cs="Times New Roman"/>
          <w:i/>
          <w:iCs/>
          <w:sz w:val="24"/>
          <w:szCs w:val="24"/>
        </w:rPr>
        <w:t>percorso europeo</w:t>
      </w:r>
      <w:r w:rsidRPr="00C4795A">
        <w:rPr>
          <w:rFonts w:ascii="Times New Roman" w:hAnsi="Times New Roman" w:cs="Times New Roman"/>
          <w:sz w:val="24"/>
          <w:szCs w:val="24"/>
        </w:rPr>
        <w:t xml:space="preserve"> di tutela dei diritti</w:t>
      </w:r>
      <w:r w:rsidR="00D6334D" w:rsidRPr="00C4795A">
        <w:rPr>
          <w:rStyle w:val="Rimandonotaapidipagina"/>
          <w:rFonts w:ascii="Times New Roman" w:hAnsi="Times New Roman" w:cs="Times New Roman"/>
          <w:sz w:val="24"/>
          <w:szCs w:val="24"/>
        </w:rPr>
        <w:footnoteReference w:id="31"/>
      </w:r>
      <w:r w:rsidR="00D6334D" w:rsidRPr="00C4795A">
        <w:rPr>
          <w:rFonts w:ascii="Times New Roman" w:hAnsi="Times New Roman" w:cs="Times New Roman"/>
          <w:sz w:val="24"/>
          <w:szCs w:val="24"/>
        </w:rPr>
        <w:t>.</w:t>
      </w:r>
      <w:r w:rsidR="00BF7892" w:rsidRPr="00C4795A">
        <w:rPr>
          <w:rFonts w:ascii="Times New Roman" w:hAnsi="Times New Roman" w:cs="Times New Roman"/>
          <w:sz w:val="24"/>
          <w:szCs w:val="24"/>
        </w:rPr>
        <w:t xml:space="preserve"> </w:t>
      </w:r>
      <w:r w:rsidR="00D6334D" w:rsidRPr="00C4795A">
        <w:rPr>
          <w:rFonts w:ascii="Times New Roman" w:hAnsi="Times New Roman" w:cs="Times New Roman"/>
          <w:sz w:val="24"/>
          <w:szCs w:val="24"/>
        </w:rPr>
        <w:t xml:space="preserve">Non è scontato, tuttavia, che </w:t>
      </w:r>
      <w:r w:rsidR="00BF7892" w:rsidRPr="00C4795A">
        <w:rPr>
          <w:rFonts w:ascii="Times New Roman" w:hAnsi="Times New Roman" w:cs="Times New Roman"/>
          <w:sz w:val="24"/>
          <w:szCs w:val="24"/>
        </w:rPr>
        <w:t xml:space="preserve">i benefici del sindacato accentrato </w:t>
      </w:r>
      <w:r w:rsidR="00D6334D" w:rsidRPr="00C4795A">
        <w:rPr>
          <w:rFonts w:ascii="Times New Roman" w:hAnsi="Times New Roman" w:cs="Times New Roman"/>
          <w:sz w:val="24"/>
          <w:szCs w:val="24"/>
        </w:rPr>
        <w:t>siano riconosciuti dai giudici</w:t>
      </w:r>
      <w:r w:rsidR="00B41014" w:rsidRPr="00C4795A">
        <w:rPr>
          <w:rFonts w:ascii="Times New Roman" w:hAnsi="Times New Roman" w:cs="Times New Roman"/>
          <w:sz w:val="24"/>
          <w:szCs w:val="24"/>
        </w:rPr>
        <w:t xml:space="preserve">. </w:t>
      </w:r>
      <w:r w:rsidR="00AE21F7" w:rsidRPr="00C4795A">
        <w:rPr>
          <w:rFonts w:ascii="Times New Roman" w:hAnsi="Times New Roman" w:cs="Times New Roman"/>
          <w:sz w:val="24"/>
          <w:szCs w:val="24"/>
        </w:rPr>
        <w:t>S</w:t>
      </w:r>
      <w:r w:rsidR="00B41014" w:rsidRPr="00C4795A">
        <w:rPr>
          <w:rFonts w:ascii="Times New Roman" w:hAnsi="Times New Roman" w:cs="Times New Roman"/>
          <w:sz w:val="24"/>
          <w:szCs w:val="24"/>
        </w:rPr>
        <w:t>ebbene non possano dirsi certo maturi i tempi per un primo bilancio relativo alle prassi interpretative invalse all’indomani del ‘protocollo 181’, può comunque rilevarsi che la sentenza</w:t>
      </w:r>
      <w:r w:rsidR="00AE21F7" w:rsidRPr="00C4795A">
        <w:rPr>
          <w:rFonts w:ascii="Times New Roman" w:hAnsi="Times New Roman" w:cs="Times New Roman"/>
          <w:sz w:val="24"/>
          <w:szCs w:val="24"/>
        </w:rPr>
        <w:t xml:space="preserve"> </w:t>
      </w:r>
      <w:proofErr w:type="spellStart"/>
      <w:r w:rsidR="00AE21F7" w:rsidRPr="00C4795A">
        <w:rPr>
          <w:rFonts w:ascii="Times New Roman" w:hAnsi="Times New Roman" w:cs="Times New Roman"/>
          <w:i/>
          <w:iCs/>
          <w:sz w:val="24"/>
          <w:szCs w:val="24"/>
        </w:rPr>
        <w:t>Granital</w:t>
      </w:r>
      <w:proofErr w:type="spellEnd"/>
      <w:r w:rsidR="00AE21F7" w:rsidRPr="00C4795A">
        <w:rPr>
          <w:rFonts w:ascii="Times New Roman" w:hAnsi="Times New Roman" w:cs="Times New Roman"/>
          <w:sz w:val="24"/>
          <w:szCs w:val="24"/>
        </w:rPr>
        <w:t xml:space="preserve"> </w:t>
      </w:r>
      <w:r w:rsidR="00B41014" w:rsidRPr="00C4795A">
        <w:rPr>
          <w:rFonts w:ascii="Times New Roman" w:hAnsi="Times New Roman" w:cs="Times New Roman"/>
          <w:sz w:val="24"/>
          <w:szCs w:val="24"/>
        </w:rPr>
        <w:t>continua a esser richiamata</w:t>
      </w:r>
      <w:r w:rsidR="00AE21F7" w:rsidRPr="00C4795A">
        <w:rPr>
          <w:rFonts w:ascii="Times New Roman" w:hAnsi="Times New Roman" w:cs="Times New Roman"/>
          <w:sz w:val="24"/>
          <w:szCs w:val="24"/>
        </w:rPr>
        <w:t xml:space="preserve"> </w:t>
      </w:r>
      <w:r w:rsidR="00B41014" w:rsidRPr="00C4795A">
        <w:rPr>
          <w:rFonts w:ascii="Times New Roman" w:hAnsi="Times New Roman" w:cs="Times New Roman"/>
          <w:sz w:val="24"/>
          <w:szCs w:val="24"/>
        </w:rPr>
        <w:t>da autorità giurisdizionali che si imbattono in norme unionali dotate di effetti diretti</w:t>
      </w:r>
      <w:r w:rsidR="00B41014" w:rsidRPr="00C4795A">
        <w:rPr>
          <w:rStyle w:val="Rimandonotaapidipagina"/>
          <w:rFonts w:ascii="Times New Roman" w:hAnsi="Times New Roman" w:cs="Times New Roman"/>
          <w:sz w:val="24"/>
          <w:szCs w:val="24"/>
        </w:rPr>
        <w:footnoteReference w:id="32"/>
      </w:r>
      <w:r w:rsidR="00316248" w:rsidRPr="00C4795A">
        <w:rPr>
          <w:rFonts w:ascii="Times New Roman" w:hAnsi="Times New Roman" w:cs="Times New Roman"/>
          <w:sz w:val="24"/>
          <w:szCs w:val="24"/>
        </w:rPr>
        <w:t xml:space="preserve">; </w:t>
      </w:r>
      <w:r w:rsidR="00070B4F" w:rsidRPr="00C4795A">
        <w:rPr>
          <w:rFonts w:ascii="Times New Roman" w:hAnsi="Times New Roman" w:cs="Times New Roman"/>
          <w:sz w:val="24"/>
          <w:szCs w:val="24"/>
        </w:rPr>
        <w:t>e che</w:t>
      </w:r>
      <w:r w:rsidR="00417628" w:rsidRPr="00C4795A">
        <w:rPr>
          <w:rFonts w:ascii="Times New Roman" w:hAnsi="Times New Roman" w:cs="Times New Roman"/>
          <w:sz w:val="24"/>
          <w:szCs w:val="24"/>
        </w:rPr>
        <w:t xml:space="preserve">, </w:t>
      </w:r>
      <w:r w:rsidR="00B41014" w:rsidRPr="00C4795A">
        <w:rPr>
          <w:rFonts w:ascii="Times New Roman" w:hAnsi="Times New Roman" w:cs="Times New Roman"/>
          <w:sz w:val="24"/>
          <w:szCs w:val="24"/>
        </w:rPr>
        <w:t>a</w:t>
      </w:r>
      <w:r w:rsidR="005F72A0" w:rsidRPr="00C4795A">
        <w:rPr>
          <w:rFonts w:ascii="Times New Roman" w:hAnsi="Times New Roman" w:cs="Times New Roman"/>
          <w:sz w:val="24"/>
          <w:szCs w:val="24"/>
        </w:rPr>
        <w:t xml:space="preserve"> quanto consta, </w:t>
      </w:r>
      <w:r w:rsidR="00417628" w:rsidRPr="00C4795A">
        <w:rPr>
          <w:rFonts w:ascii="Times New Roman" w:hAnsi="Times New Roman" w:cs="Times New Roman"/>
          <w:sz w:val="24"/>
          <w:szCs w:val="24"/>
        </w:rPr>
        <w:t xml:space="preserve">una sola </w:t>
      </w:r>
      <w:r w:rsidR="00B41014" w:rsidRPr="00C4795A">
        <w:rPr>
          <w:rFonts w:ascii="Times New Roman" w:hAnsi="Times New Roman" w:cs="Times New Roman"/>
          <w:sz w:val="24"/>
          <w:szCs w:val="24"/>
        </w:rPr>
        <w:t>pronunc</w:t>
      </w:r>
      <w:r w:rsidR="00B563F8" w:rsidRPr="00C4795A">
        <w:rPr>
          <w:rFonts w:ascii="Times New Roman" w:hAnsi="Times New Roman" w:cs="Times New Roman"/>
          <w:sz w:val="24"/>
          <w:szCs w:val="24"/>
        </w:rPr>
        <w:t xml:space="preserve">ia </w:t>
      </w:r>
      <w:r w:rsidR="005F72A0" w:rsidRPr="00C4795A">
        <w:rPr>
          <w:rFonts w:ascii="Times New Roman" w:hAnsi="Times New Roman" w:cs="Times New Roman"/>
          <w:sz w:val="24"/>
          <w:szCs w:val="24"/>
        </w:rPr>
        <w:lastRenderedPageBreak/>
        <w:t xml:space="preserve">ad oggi </w:t>
      </w:r>
      <w:r w:rsidR="00B41014" w:rsidRPr="00C4795A">
        <w:rPr>
          <w:rFonts w:ascii="Times New Roman" w:hAnsi="Times New Roman" w:cs="Times New Roman"/>
          <w:sz w:val="24"/>
          <w:szCs w:val="24"/>
        </w:rPr>
        <w:t xml:space="preserve">fa espresso riferimento alla sentenza n. 181 e ai criteri di risoluzione </w:t>
      </w:r>
      <w:r w:rsidR="00AE21F7" w:rsidRPr="00C4795A">
        <w:rPr>
          <w:rFonts w:ascii="Times New Roman" w:hAnsi="Times New Roman" w:cs="Times New Roman"/>
          <w:sz w:val="24"/>
          <w:szCs w:val="24"/>
        </w:rPr>
        <w:t>delle incompatibilità comunitarie dalla stessa enunciati</w:t>
      </w:r>
      <w:r w:rsidR="00656439" w:rsidRPr="00C4795A">
        <w:rPr>
          <w:rStyle w:val="Rimandonotaapidipagina"/>
          <w:rFonts w:ascii="Times New Roman" w:hAnsi="Times New Roman" w:cs="Times New Roman"/>
          <w:sz w:val="24"/>
          <w:szCs w:val="24"/>
        </w:rPr>
        <w:footnoteReference w:id="33"/>
      </w:r>
      <w:r w:rsidR="00B41014" w:rsidRPr="00C4795A">
        <w:rPr>
          <w:rFonts w:ascii="Times New Roman" w:hAnsi="Times New Roman" w:cs="Times New Roman"/>
          <w:sz w:val="24"/>
          <w:szCs w:val="24"/>
        </w:rPr>
        <w:t xml:space="preserve">.   </w:t>
      </w:r>
    </w:p>
    <w:p w14:paraId="6D73243B" w14:textId="2249C7C8" w:rsidR="000F717F" w:rsidRPr="00C4795A" w:rsidRDefault="004E3108" w:rsidP="000E39B0">
      <w:pPr>
        <w:spacing w:after="0"/>
        <w:jc w:val="both"/>
        <w:rPr>
          <w:rFonts w:ascii="Times New Roman" w:hAnsi="Times New Roman" w:cs="Times New Roman"/>
          <w:sz w:val="24"/>
          <w:szCs w:val="24"/>
        </w:rPr>
      </w:pPr>
      <w:r w:rsidRPr="00C4795A">
        <w:rPr>
          <w:rFonts w:ascii="Times New Roman" w:hAnsi="Times New Roman" w:cs="Times New Roman"/>
          <w:sz w:val="24"/>
          <w:szCs w:val="24"/>
        </w:rPr>
        <w:t xml:space="preserve">Volendo esplorare le possibilità che si </w:t>
      </w:r>
      <w:r w:rsidR="00E47106" w:rsidRPr="00C4795A">
        <w:rPr>
          <w:rFonts w:ascii="Times New Roman" w:hAnsi="Times New Roman" w:cs="Times New Roman"/>
          <w:sz w:val="24"/>
          <w:szCs w:val="24"/>
        </w:rPr>
        <w:t xml:space="preserve">presentano </w:t>
      </w:r>
      <w:r w:rsidRPr="00C4795A">
        <w:rPr>
          <w:rFonts w:ascii="Times New Roman" w:hAnsi="Times New Roman" w:cs="Times New Roman"/>
          <w:sz w:val="24"/>
          <w:szCs w:val="24"/>
        </w:rPr>
        <w:t>agli organi giusdicenti, sono almeno tre gli scenari applicativi configurabili</w:t>
      </w:r>
      <w:r w:rsidR="000E39B0" w:rsidRPr="00C4795A">
        <w:rPr>
          <w:rFonts w:ascii="Times New Roman" w:hAnsi="Times New Roman" w:cs="Times New Roman"/>
          <w:sz w:val="24"/>
          <w:szCs w:val="24"/>
        </w:rPr>
        <w:t>.</w:t>
      </w:r>
      <w:r w:rsidRPr="00C4795A">
        <w:rPr>
          <w:rFonts w:ascii="Times New Roman" w:hAnsi="Times New Roman" w:cs="Times New Roman"/>
          <w:sz w:val="24"/>
          <w:szCs w:val="24"/>
        </w:rPr>
        <w:t xml:space="preserve">  </w:t>
      </w:r>
      <w:r w:rsidR="00B41014" w:rsidRPr="00C4795A">
        <w:rPr>
          <w:rFonts w:ascii="Times New Roman" w:hAnsi="Times New Roman" w:cs="Times New Roman"/>
          <w:sz w:val="24"/>
          <w:szCs w:val="24"/>
        </w:rPr>
        <w:t xml:space="preserve">    </w:t>
      </w:r>
      <w:r w:rsidR="000F717F" w:rsidRPr="00C4795A">
        <w:rPr>
          <w:rFonts w:ascii="Times New Roman" w:hAnsi="Times New Roman" w:cs="Times New Roman"/>
          <w:sz w:val="24"/>
          <w:szCs w:val="24"/>
        </w:rPr>
        <w:t xml:space="preserve"> </w:t>
      </w:r>
    </w:p>
    <w:p w14:paraId="2F64B352" w14:textId="1C2F63FC" w:rsidR="004E3108" w:rsidRPr="00C4795A" w:rsidRDefault="006421F2" w:rsidP="000E39B0">
      <w:pPr>
        <w:spacing w:after="0"/>
        <w:jc w:val="both"/>
        <w:rPr>
          <w:rFonts w:ascii="Times New Roman" w:hAnsi="Times New Roman" w:cs="Times New Roman"/>
          <w:sz w:val="24"/>
          <w:szCs w:val="24"/>
        </w:rPr>
      </w:pPr>
      <w:r w:rsidRPr="00C4795A">
        <w:rPr>
          <w:rFonts w:ascii="Times New Roman" w:hAnsi="Times New Roman" w:cs="Times New Roman"/>
          <w:sz w:val="24"/>
          <w:szCs w:val="24"/>
        </w:rPr>
        <w:t>Nel p</w:t>
      </w:r>
      <w:r w:rsidR="0062526F" w:rsidRPr="00C4795A">
        <w:rPr>
          <w:rFonts w:ascii="Times New Roman" w:hAnsi="Times New Roman" w:cs="Times New Roman"/>
          <w:sz w:val="24"/>
          <w:szCs w:val="24"/>
        </w:rPr>
        <w:t>rimo scenario</w:t>
      </w:r>
      <w:r w:rsidRPr="00C4795A">
        <w:rPr>
          <w:rFonts w:ascii="Times New Roman" w:hAnsi="Times New Roman" w:cs="Times New Roman"/>
          <w:sz w:val="24"/>
          <w:szCs w:val="24"/>
        </w:rPr>
        <w:t>,</w:t>
      </w:r>
      <w:r w:rsidR="0062526F" w:rsidRPr="00C4795A">
        <w:rPr>
          <w:rFonts w:ascii="Times New Roman" w:hAnsi="Times New Roman" w:cs="Times New Roman"/>
          <w:sz w:val="24"/>
          <w:szCs w:val="24"/>
        </w:rPr>
        <w:t xml:space="preserve"> i giudici </w:t>
      </w:r>
      <w:r w:rsidR="004C5FB4" w:rsidRPr="00C4795A">
        <w:rPr>
          <w:rFonts w:ascii="Times New Roman" w:hAnsi="Times New Roman" w:cs="Times New Roman"/>
          <w:sz w:val="24"/>
          <w:szCs w:val="24"/>
        </w:rPr>
        <w:t xml:space="preserve">comuni </w:t>
      </w:r>
      <w:r w:rsidR="0085527C" w:rsidRPr="00C4795A">
        <w:rPr>
          <w:rFonts w:ascii="Times New Roman" w:hAnsi="Times New Roman" w:cs="Times New Roman"/>
          <w:sz w:val="24"/>
          <w:szCs w:val="24"/>
        </w:rPr>
        <w:t xml:space="preserve">continuano generalmente a preferire </w:t>
      </w:r>
      <w:r w:rsidRPr="00C4795A">
        <w:rPr>
          <w:rFonts w:ascii="Times New Roman" w:hAnsi="Times New Roman" w:cs="Times New Roman"/>
          <w:sz w:val="24"/>
          <w:szCs w:val="24"/>
        </w:rPr>
        <w:t>la disapplicazione diretta alla proposizione dell’incidente di costituzionalità</w:t>
      </w:r>
      <w:r w:rsidR="0085527C" w:rsidRPr="00C4795A">
        <w:rPr>
          <w:rFonts w:ascii="Times New Roman" w:hAnsi="Times New Roman" w:cs="Times New Roman"/>
          <w:sz w:val="24"/>
          <w:szCs w:val="24"/>
        </w:rPr>
        <w:t xml:space="preserve"> e quindi </w:t>
      </w:r>
      <w:r w:rsidRPr="00C4795A">
        <w:rPr>
          <w:rFonts w:ascii="Times New Roman" w:hAnsi="Times New Roman" w:cs="Times New Roman"/>
          <w:sz w:val="24"/>
          <w:szCs w:val="24"/>
        </w:rPr>
        <w:t>non rispond</w:t>
      </w:r>
      <w:r w:rsidR="0085527C" w:rsidRPr="00C4795A">
        <w:rPr>
          <w:rFonts w:ascii="Times New Roman" w:hAnsi="Times New Roman" w:cs="Times New Roman"/>
          <w:sz w:val="24"/>
          <w:szCs w:val="24"/>
        </w:rPr>
        <w:t>ono</w:t>
      </w:r>
      <w:r w:rsidRPr="00C4795A">
        <w:rPr>
          <w:rFonts w:ascii="Times New Roman" w:hAnsi="Times New Roman" w:cs="Times New Roman"/>
          <w:sz w:val="24"/>
          <w:szCs w:val="24"/>
        </w:rPr>
        <w:t xml:space="preserve"> all</w:t>
      </w:r>
      <w:r w:rsidR="0085527C" w:rsidRPr="00C4795A">
        <w:rPr>
          <w:rFonts w:ascii="Times New Roman" w:hAnsi="Times New Roman" w:cs="Times New Roman"/>
          <w:sz w:val="24"/>
          <w:szCs w:val="24"/>
        </w:rPr>
        <w:t xml:space="preserve">a sollecitazione </w:t>
      </w:r>
      <w:r w:rsidR="0059224F" w:rsidRPr="00C4795A">
        <w:rPr>
          <w:rFonts w:ascii="Times New Roman" w:hAnsi="Times New Roman" w:cs="Times New Roman"/>
          <w:sz w:val="24"/>
          <w:szCs w:val="24"/>
        </w:rPr>
        <w:t xml:space="preserve">espressa </w:t>
      </w:r>
      <w:r w:rsidRPr="00C4795A">
        <w:rPr>
          <w:rFonts w:ascii="Times New Roman" w:hAnsi="Times New Roman" w:cs="Times New Roman"/>
          <w:sz w:val="24"/>
          <w:szCs w:val="24"/>
        </w:rPr>
        <w:t>dalla Corte</w:t>
      </w:r>
      <w:r w:rsidR="0062526F" w:rsidRPr="00C4795A">
        <w:rPr>
          <w:rFonts w:ascii="Times New Roman" w:hAnsi="Times New Roman" w:cs="Times New Roman"/>
          <w:sz w:val="24"/>
          <w:szCs w:val="24"/>
        </w:rPr>
        <w:t xml:space="preserve">. </w:t>
      </w:r>
    </w:p>
    <w:p w14:paraId="7A45D80C" w14:textId="3FA06650" w:rsidR="004554AC" w:rsidRPr="00C4795A" w:rsidRDefault="004C5FB4" w:rsidP="000E39B0">
      <w:pPr>
        <w:spacing w:after="0"/>
        <w:jc w:val="both"/>
        <w:rPr>
          <w:rFonts w:ascii="Times New Roman" w:hAnsi="Times New Roman" w:cs="Times New Roman"/>
          <w:sz w:val="24"/>
          <w:szCs w:val="24"/>
        </w:rPr>
      </w:pPr>
      <w:r w:rsidRPr="00C4795A">
        <w:rPr>
          <w:rFonts w:ascii="Times New Roman" w:hAnsi="Times New Roman" w:cs="Times New Roman"/>
          <w:sz w:val="24"/>
          <w:szCs w:val="24"/>
        </w:rPr>
        <w:t>Nel s</w:t>
      </w:r>
      <w:r w:rsidR="006421F2" w:rsidRPr="00C4795A">
        <w:rPr>
          <w:rFonts w:ascii="Times New Roman" w:hAnsi="Times New Roman" w:cs="Times New Roman"/>
          <w:sz w:val="24"/>
          <w:szCs w:val="24"/>
        </w:rPr>
        <w:t>econdo scenario</w:t>
      </w:r>
      <w:r w:rsidRPr="00C4795A">
        <w:rPr>
          <w:rFonts w:ascii="Times New Roman" w:hAnsi="Times New Roman" w:cs="Times New Roman"/>
          <w:sz w:val="24"/>
          <w:szCs w:val="24"/>
        </w:rPr>
        <w:t>,</w:t>
      </w:r>
      <w:r w:rsidR="006421F2" w:rsidRPr="00C4795A">
        <w:rPr>
          <w:rFonts w:ascii="Times New Roman" w:hAnsi="Times New Roman" w:cs="Times New Roman"/>
          <w:sz w:val="24"/>
          <w:szCs w:val="24"/>
        </w:rPr>
        <w:t xml:space="preserve"> </w:t>
      </w:r>
      <w:r w:rsidRPr="00C4795A">
        <w:rPr>
          <w:rFonts w:ascii="Times New Roman" w:hAnsi="Times New Roman" w:cs="Times New Roman"/>
          <w:sz w:val="24"/>
          <w:szCs w:val="24"/>
        </w:rPr>
        <w:t xml:space="preserve">in sede di </w:t>
      </w:r>
      <w:r w:rsidR="006421F2" w:rsidRPr="00C4795A">
        <w:rPr>
          <w:rFonts w:ascii="Times New Roman" w:hAnsi="Times New Roman" w:cs="Times New Roman"/>
          <w:sz w:val="24"/>
          <w:szCs w:val="24"/>
        </w:rPr>
        <w:t>prospettazione delle questioni incidentali</w:t>
      </w:r>
      <w:r w:rsidR="001F7069" w:rsidRPr="00C4795A">
        <w:rPr>
          <w:rFonts w:ascii="Times New Roman" w:hAnsi="Times New Roman" w:cs="Times New Roman"/>
          <w:sz w:val="24"/>
          <w:szCs w:val="24"/>
        </w:rPr>
        <w:t>,</w:t>
      </w:r>
      <w:r w:rsidR="006421F2" w:rsidRPr="00C4795A">
        <w:rPr>
          <w:rFonts w:ascii="Times New Roman" w:hAnsi="Times New Roman" w:cs="Times New Roman"/>
          <w:sz w:val="24"/>
          <w:szCs w:val="24"/>
        </w:rPr>
        <w:t xml:space="preserve"> i giudici separano artificialmente i parametri interni da quelli unionali, così facendo venire meno l’intreccio tra le questioni</w:t>
      </w:r>
      <w:r w:rsidR="00F72B8B" w:rsidRPr="00C4795A">
        <w:rPr>
          <w:rFonts w:ascii="Times New Roman" w:hAnsi="Times New Roman" w:cs="Times New Roman"/>
          <w:sz w:val="24"/>
          <w:szCs w:val="24"/>
        </w:rPr>
        <w:t xml:space="preserve"> doppiamente pregiudiziali</w:t>
      </w:r>
      <w:r w:rsidR="006421F2" w:rsidRPr="00C4795A">
        <w:rPr>
          <w:rFonts w:ascii="Times New Roman" w:hAnsi="Times New Roman" w:cs="Times New Roman"/>
          <w:sz w:val="24"/>
          <w:szCs w:val="24"/>
        </w:rPr>
        <w:t>.</w:t>
      </w:r>
      <w:r w:rsidR="000F717F" w:rsidRPr="00C4795A">
        <w:rPr>
          <w:rFonts w:ascii="Times New Roman" w:hAnsi="Times New Roman" w:cs="Times New Roman"/>
          <w:sz w:val="24"/>
          <w:szCs w:val="24"/>
        </w:rPr>
        <w:t xml:space="preserve"> </w:t>
      </w:r>
    </w:p>
    <w:p w14:paraId="40C55FC6" w14:textId="571F7D24" w:rsidR="006421F2" w:rsidRPr="00C4795A" w:rsidRDefault="004C5FB4" w:rsidP="002177E1">
      <w:pPr>
        <w:spacing w:after="0"/>
        <w:jc w:val="both"/>
        <w:rPr>
          <w:rFonts w:ascii="Times New Roman" w:hAnsi="Times New Roman" w:cs="Times New Roman"/>
          <w:sz w:val="24"/>
          <w:szCs w:val="24"/>
        </w:rPr>
      </w:pPr>
      <w:r w:rsidRPr="00C4795A">
        <w:rPr>
          <w:rFonts w:ascii="Times New Roman" w:hAnsi="Times New Roman" w:cs="Times New Roman"/>
          <w:sz w:val="24"/>
          <w:szCs w:val="24"/>
        </w:rPr>
        <w:t xml:space="preserve">Nel terzo </w:t>
      </w:r>
      <w:r w:rsidR="006421F2" w:rsidRPr="00C4795A">
        <w:rPr>
          <w:rFonts w:ascii="Times New Roman" w:hAnsi="Times New Roman" w:cs="Times New Roman"/>
          <w:sz w:val="24"/>
          <w:szCs w:val="24"/>
        </w:rPr>
        <w:t>scenario</w:t>
      </w:r>
      <w:r w:rsidRPr="00C4795A">
        <w:rPr>
          <w:rFonts w:ascii="Times New Roman" w:hAnsi="Times New Roman" w:cs="Times New Roman"/>
          <w:sz w:val="24"/>
          <w:szCs w:val="24"/>
        </w:rPr>
        <w:t>,</w:t>
      </w:r>
      <w:r w:rsidR="006421F2" w:rsidRPr="00C4795A">
        <w:rPr>
          <w:rFonts w:ascii="Times New Roman" w:hAnsi="Times New Roman" w:cs="Times New Roman"/>
          <w:sz w:val="24"/>
          <w:szCs w:val="24"/>
        </w:rPr>
        <w:t xml:space="preserve"> i giudici </w:t>
      </w:r>
      <w:r w:rsidRPr="00C4795A">
        <w:rPr>
          <w:rFonts w:ascii="Times New Roman" w:hAnsi="Times New Roman" w:cs="Times New Roman"/>
          <w:sz w:val="24"/>
          <w:szCs w:val="24"/>
        </w:rPr>
        <w:t xml:space="preserve">raccolgono l’invito della Corte e </w:t>
      </w:r>
      <w:r w:rsidR="006421F2" w:rsidRPr="00C4795A">
        <w:rPr>
          <w:rFonts w:ascii="Times New Roman" w:hAnsi="Times New Roman" w:cs="Times New Roman"/>
          <w:sz w:val="24"/>
          <w:szCs w:val="24"/>
        </w:rPr>
        <w:t xml:space="preserve">sollevano con </w:t>
      </w:r>
      <w:r w:rsidR="004E3108" w:rsidRPr="00C4795A">
        <w:rPr>
          <w:rFonts w:ascii="Times New Roman" w:hAnsi="Times New Roman" w:cs="Times New Roman"/>
          <w:sz w:val="24"/>
          <w:szCs w:val="24"/>
        </w:rPr>
        <w:t>‘</w:t>
      </w:r>
      <w:r w:rsidR="006421F2" w:rsidRPr="00C4795A">
        <w:rPr>
          <w:rFonts w:ascii="Times New Roman" w:hAnsi="Times New Roman" w:cs="Times New Roman"/>
          <w:sz w:val="24"/>
          <w:szCs w:val="24"/>
        </w:rPr>
        <w:t xml:space="preserve">doppio </w:t>
      </w:r>
      <w:proofErr w:type="spellStart"/>
      <w:r w:rsidR="006421F2" w:rsidRPr="00C4795A">
        <w:rPr>
          <w:rFonts w:ascii="Times New Roman" w:hAnsi="Times New Roman" w:cs="Times New Roman"/>
          <w:sz w:val="24"/>
          <w:szCs w:val="24"/>
        </w:rPr>
        <w:t>parametro</w:t>
      </w:r>
      <w:r w:rsidR="004E3108" w:rsidRPr="00C4795A">
        <w:rPr>
          <w:rFonts w:ascii="Times New Roman" w:hAnsi="Times New Roman" w:cs="Times New Roman"/>
          <w:sz w:val="24"/>
          <w:szCs w:val="24"/>
        </w:rPr>
        <w:t>’</w:t>
      </w:r>
      <w:proofErr w:type="spellEnd"/>
      <w:r w:rsidRPr="00C4795A">
        <w:rPr>
          <w:rFonts w:ascii="Times New Roman" w:hAnsi="Times New Roman" w:cs="Times New Roman"/>
          <w:sz w:val="24"/>
          <w:szCs w:val="24"/>
        </w:rPr>
        <w:t>,</w:t>
      </w:r>
      <w:r w:rsidR="006421F2" w:rsidRPr="00C4795A">
        <w:rPr>
          <w:rFonts w:ascii="Times New Roman" w:hAnsi="Times New Roman" w:cs="Times New Roman"/>
          <w:sz w:val="24"/>
          <w:szCs w:val="24"/>
        </w:rPr>
        <w:t xml:space="preserve"> interno e unionale</w:t>
      </w:r>
      <w:r w:rsidR="00F72B8B" w:rsidRPr="00C4795A">
        <w:rPr>
          <w:rFonts w:ascii="Times New Roman" w:hAnsi="Times New Roman" w:cs="Times New Roman"/>
          <w:sz w:val="24"/>
          <w:szCs w:val="24"/>
        </w:rPr>
        <w:t xml:space="preserve">, senza far luogo all’immediata </w:t>
      </w:r>
      <w:r w:rsidR="006421F2" w:rsidRPr="00C4795A">
        <w:rPr>
          <w:rFonts w:ascii="Times New Roman" w:hAnsi="Times New Roman" w:cs="Times New Roman"/>
          <w:sz w:val="24"/>
          <w:szCs w:val="24"/>
        </w:rPr>
        <w:t xml:space="preserve">applicazione della </w:t>
      </w:r>
      <w:r w:rsidR="005E558E" w:rsidRPr="00C4795A">
        <w:rPr>
          <w:rFonts w:ascii="Times New Roman" w:hAnsi="Times New Roman" w:cs="Times New Roman"/>
          <w:sz w:val="24"/>
          <w:szCs w:val="24"/>
        </w:rPr>
        <w:t xml:space="preserve">norma </w:t>
      </w:r>
      <w:r w:rsidR="00C937B3" w:rsidRPr="00C4795A">
        <w:rPr>
          <w:rFonts w:ascii="Times New Roman" w:hAnsi="Times New Roman" w:cs="Times New Roman"/>
          <w:sz w:val="24"/>
          <w:szCs w:val="24"/>
        </w:rPr>
        <w:t>dell’</w:t>
      </w:r>
      <w:r w:rsidR="006421F2" w:rsidRPr="00C4795A">
        <w:rPr>
          <w:rFonts w:ascii="Times New Roman" w:hAnsi="Times New Roman" w:cs="Times New Roman"/>
          <w:sz w:val="24"/>
          <w:szCs w:val="24"/>
        </w:rPr>
        <w:t>UE</w:t>
      </w:r>
      <w:r w:rsidR="00C937B3" w:rsidRPr="00C4795A">
        <w:rPr>
          <w:rFonts w:ascii="Times New Roman" w:hAnsi="Times New Roman" w:cs="Times New Roman"/>
          <w:sz w:val="24"/>
          <w:szCs w:val="24"/>
        </w:rPr>
        <w:t>,</w:t>
      </w:r>
      <w:r w:rsidRPr="00C4795A">
        <w:rPr>
          <w:rFonts w:ascii="Times New Roman" w:hAnsi="Times New Roman" w:cs="Times New Roman"/>
          <w:sz w:val="24"/>
          <w:szCs w:val="24"/>
        </w:rPr>
        <w:t xml:space="preserve"> ancorché dotata di diretta efficacia</w:t>
      </w:r>
      <w:r w:rsidR="00F72B8B" w:rsidRPr="00C4795A">
        <w:rPr>
          <w:rFonts w:ascii="Times New Roman" w:hAnsi="Times New Roman" w:cs="Times New Roman"/>
          <w:sz w:val="24"/>
          <w:szCs w:val="24"/>
        </w:rPr>
        <w:t>.</w:t>
      </w:r>
    </w:p>
    <w:p w14:paraId="510B2A57" w14:textId="7B937AA4" w:rsidR="004E3108" w:rsidRPr="00C4795A" w:rsidRDefault="00E1258D" w:rsidP="002177E1">
      <w:pPr>
        <w:spacing w:after="0"/>
        <w:jc w:val="both"/>
        <w:rPr>
          <w:rFonts w:ascii="Times New Roman" w:hAnsi="Times New Roman" w:cs="Times New Roman"/>
          <w:sz w:val="24"/>
          <w:szCs w:val="24"/>
        </w:rPr>
      </w:pPr>
      <w:r w:rsidRPr="00C4795A">
        <w:rPr>
          <w:rFonts w:ascii="Times New Roman" w:hAnsi="Times New Roman" w:cs="Times New Roman"/>
          <w:sz w:val="24"/>
          <w:szCs w:val="24"/>
        </w:rPr>
        <w:t>Scandagliando la</w:t>
      </w:r>
      <w:r w:rsidR="004E3108" w:rsidRPr="00C4795A">
        <w:rPr>
          <w:rFonts w:ascii="Times New Roman" w:hAnsi="Times New Roman" w:cs="Times New Roman"/>
          <w:sz w:val="24"/>
          <w:szCs w:val="24"/>
        </w:rPr>
        <w:t xml:space="preserve"> giurisprudenza successiva alla sentenza n. 181, a ben vedere in larga parte generata da ordinanze di rimessione precedenti alla </w:t>
      </w:r>
      <w:r w:rsidR="00860B10" w:rsidRPr="00C4795A">
        <w:rPr>
          <w:rFonts w:ascii="Times New Roman" w:hAnsi="Times New Roman" w:cs="Times New Roman"/>
          <w:sz w:val="24"/>
          <w:szCs w:val="24"/>
        </w:rPr>
        <w:t xml:space="preserve">181 </w:t>
      </w:r>
      <w:r w:rsidR="004E3108" w:rsidRPr="00C4795A">
        <w:rPr>
          <w:rFonts w:ascii="Times New Roman" w:hAnsi="Times New Roman" w:cs="Times New Roman"/>
          <w:sz w:val="24"/>
          <w:szCs w:val="24"/>
        </w:rPr>
        <w:t xml:space="preserve">e quindi ancora </w:t>
      </w:r>
      <w:r w:rsidR="00860B10" w:rsidRPr="00C4795A">
        <w:rPr>
          <w:rFonts w:ascii="Times New Roman" w:hAnsi="Times New Roman" w:cs="Times New Roman"/>
          <w:sz w:val="24"/>
          <w:szCs w:val="24"/>
        </w:rPr>
        <w:t xml:space="preserve">tributarie </w:t>
      </w:r>
      <w:r w:rsidR="004E3108" w:rsidRPr="00C4795A">
        <w:rPr>
          <w:rFonts w:ascii="Times New Roman" w:hAnsi="Times New Roman" w:cs="Times New Roman"/>
          <w:sz w:val="24"/>
          <w:szCs w:val="24"/>
        </w:rPr>
        <w:t>d</w:t>
      </w:r>
      <w:r w:rsidR="00860B10" w:rsidRPr="00C4795A">
        <w:rPr>
          <w:rFonts w:ascii="Times New Roman" w:hAnsi="Times New Roman" w:cs="Times New Roman"/>
          <w:sz w:val="24"/>
          <w:szCs w:val="24"/>
        </w:rPr>
        <w:t>e</w:t>
      </w:r>
      <w:r w:rsidR="004E3108" w:rsidRPr="00C4795A">
        <w:rPr>
          <w:rFonts w:ascii="Times New Roman" w:hAnsi="Times New Roman" w:cs="Times New Roman"/>
          <w:sz w:val="24"/>
          <w:szCs w:val="24"/>
        </w:rPr>
        <w:t xml:space="preserve">llo ‘schema 269’, </w:t>
      </w:r>
      <w:r w:rsidR="00860B10" w:rsidRPr="00C4795A">
        <w:rPr>
          <w:rFonts w:ascii="Times New Roman" w:hAnsi="Times New Roman" w:cs="Times New Roman"/>
          <w:sz w:val="24"/>
          <w:szCs w:val="24"/>
        </w:rPr>
        <w:t xml:space="preserve">ne emerge che </w:t>
      </w:r>
      <w:r w:rsidR="004E3108" w:rsidRPr="00C4795A">
        <w:rPr>
          <w:rFonts w:ascii="Times New Roman" w:hAnsi="Times New Roman" w:cs="Times New Roman"/>
          <w:sz w:val="24"/>
          <w:szCs w:val="24"/>
        </w:rPr>
        <w:t xml:space="preserve">l’esito </w:t>
      </w:r>
      <w:r w:rsidR="00860B10" w:rsidRPr="00C4795A">
        <w:rPr>
          <w:rFonts w:ascii="Times New Roman" w:hAnsi="Times New Roman" w:cs="Times New Roman"/>
          <w:sz w:val="24"/>
          <w:szCs w:val="24"/>
        </w:rPr>
        <w:t xml:space="preserve">dell’incidente costituzionale </w:t>
      </w:r>
      <w:r w:rsidR="004E3108" w:rsidRPr="00C4795A">
        <w:rPr>
          <w:rFonts w:ascii="Times New Roman" w:hAnsi="Times New Roman" w:cs="Times New Roman"/>
          <w:sz w:val="24"/>
          <w:szCs w:val="24"/>
        </w:rPr>
        <w:t xml:space="preserve">è sempre stato </w:t>
      </w:r>
      <w:r w:rsidR="00860B10" w:rsidRPr="00C4795A">
        <w:rPr>
          <w:rFonts w:ascii="Times New Roman" w:hAnsi="Times New Roman" w:cs="Times New Roman"/>
          <w:sz w:val="24"/>
          <w:szCs w:val="24"/>
        </w:rPr>
        <w:t>nel senso dell’accoglimento della questione</w:t>
      </w:r>
      <w:r w:rsidRPr="00C4795A">
        <w:rPr>
          <w:rFonts w:ascii="Times New Roman" w:hAnsi="Times New Roman" w:cs="Times New Roman"/>
          <w:sz w:val="24"/>
          <w:szCs w:val="24"/>
        </w:rPr>
        <w:t>, in alcuni casi con esame congiunto dei parametri evocati</w:t>
      </w:r>
      <w:r w:rsidRPr="00C4795A">
        <w:rPr>
          <w:rStyle w:val="Rimandonotaapidipagina"/>
          <w:rFonts w:ascii="Times New Roman" w:hAnsi="Times New Roman" w:cs="Times New Roman"/>
          <w:sz w:val="24"/>
          <w:szCs w:val="24"/>
        </w:rPr>
        <w:footnoteReference w:id="34"/>
      </w:r>
      <w:r w:rsidRPr="00C4795A">
        <w:rPr>
          <w:rFonts w:ascii="Times New Roman" w:hAnsi="Times New Roman" w:cs="Times New Roman"/>
          <w:sz w:val="24"/>
          <w:szCs w:val="24"/>
        </w:rPr>
        <w:t>, in altri con l’assorbimento della questione fondata sulle norme interposte</w:t>
      </w:r>
      <w:r w:rsidR="00860B10" w:rsidRPr="00C4795A">
        <w:rPr>
          <w:rFonts w:ascii="Times New Roman" w:hAnsi="Times New Roman" w:cs="Times New Roman"/>
          <w:sz w:val="24"/>
          <w:szCs w:val="24"/>
        </w:rPr>
        <w:t xml:space="preserve"> di matrice unionale</w:t>
      </w:r>
      <w:r w:rsidRPr="00C4795A">
        <w:rPr>
          <w:rStyle w:val="Rimandonotaapidipagina"/>
          <w:rFonts w:ascii="Times New Roman" w:hAnsi="Times New Roman" w:cs="Times New Roman"/>
          <w:sz w:val="24"/>
          <w:szCs w:val="24"/>
        </w:rPr>
        <w:footnoteReference w:id="35"/>
      </w:r>
      <w:r w:rsidRPr="00C4795A">
        <w:rPr>
          <w:rFonts w:ascii="Times New Roman" w:hAnsi="Times New Roman" w:cs="Times New Roman"/>
          <w:sz w:val="24"/>
          <w:szCs w:val="24"/>
        </w:rPr>
        <w:t xml:space="preserve">. </w:t>
      </w:r>
    </w:p>
    <w:p w14:paraId="7325845C" w14:textId="15B153EF" w:rsidR="00425CD5" w:rsidRPr="00C4795A" w:rsidRDefault="00AF3C5D" w:rsidP="002177E1">
      <w:pPr>
        <w:spacing w:after="0"/>
        <w:jc w:val="both"/>
        <w:rPr>
          <w:rFonts w:ascii="Times New Roman" w:hAnsi="Times New Roman" w:cs="Times New Roman"/>
          <w:sz w:val="24"/>
          <w:szCs w:val="24"/>
        </w:rPr>
      </w:pPr>
      <w:r w:rsidRPr="00C4795A">
        <w:rPr>
          <w:rFonts w:ascii="Times New Roman" w:hAnsi="Times New Roman" w:cs="Times New Roman"/>
          <w:sz w:val="24"/>
          <w:szCs w:val="24"/>
        </w:rPr>
        <w:t>N</w:t>
      </w:r>
      <w:r w:rsidR="004C5FB4" w:rsidRPr="00C4795A">
        <w:rPr>
          <w:rFonts w:ascii="Times New Roman" w:hAnsi="Times New Roman" w:cs="Times New Roman"/>
          <w:sz w:val="24"/>
          <w:szCs w:val="24"/>
        </w:rPr>
        <w:t>essuna d</w:t>
      </w:r>
      <w:r w:rsidR="00860B10" w:rsidRPr="00C4795A">
        <w:rPr>
          <w:rFonts w:ascii="Times New Roman" w:hAnsi="Times New Roman" w:cs="Times New Roman"/>
          <w:sz w:val="24"/>
          <w:szCs w:val="24"/>
        </w:rPr>
        <w:t xml:space="preserve">elle richiamate </w:t>
      </w:r>
      <w:r w:rsidR="004C5FB4" w:rsidRPr="00C4795A">
        <w:rPr>
          <w:rFonts w:ascii="Times New Roman" w:hAnsi="Times New Roman" w:cs="Times New Roman"/>
          <w:sz w:val="24"/>
          <w:szCs w:val="24"/>
        </w:rPr>
        <w:t xml:space="preserve">prassi applicative risulta </w:t>
      </w:r>
      <w:r w:rsidR="005E558E" w:rsidRPr="00C4795A">
        <w:rPr>
          <w:rFonts w:ascii="Times New Roman" w:hAnsi="Times New Roman" w:cs="Times New Roman"/>
          <w:sz w:val="24"/>
          <w:szCs w:val="24"/>
        </w:rPr>
        <w:t xml:space="preserve">completamente </w:t>
      </w:r>
      <w:r w:rsidR="004C5FB4" w:rsidRPr="00C4795A">
        <w:rPr>
          <w:rFonts w:ascii="Times New Roman" w:hAnsi="Times New Roman" w:cs="Times New Roman"/>
          <w:sz w:val="24"/>
          <w:szCs w:val="24"/>
        </w:rPr>
        <w:t>appagante</w:t>
      </w:r>
      <w:r w:rsidR="004554AC" w:rsidRPr="00C4795A">
        <w:rPr>
          <w:rFonts w:ascii="Times New Roman" w:hAnsi="Times New Roman" w:cs="Times New Roman"/>
          <w:sz w:val="24"/>
          <w:szCs w:val="24"/>
        </w:rPr>
        <w:t xml:space="preserve"> nella prospettiva della più ampia</w:t>
      </w:r>
      <w:r w:rsidR="00182A57" w:rsidRPr="00C4795A">
        <w:rPr>
          <w:rFonts w:ascii="Times New Roman" w:hAnsi="Times New Roman" w:cs="Times New Roman"/>
          <w:sz w:val="24"/>
          <w:szCs w:val="24"/>
        </w:rPr>
        <w:t xml:space="preserve"> e circolare</w:t>
      </w:r>
      <w:r w:rsidR="004554AC" w:rsidRPr="00C4795A">
        <w:rPr>
          <w:rFonts w:ascii="Times New Roman" w:hAnsi="Times New Roman" w:cs="Times New Roman"/>
          <w:sz w:val="24"/>
          <w:szCs w:val="24"/>
        </w:rPr>
        <w:t xml:space="preserve"> integrazione delle tutele</w:t>
      </w:r>
      <w:r w:rsidR="004C5FB4" w:rsidRPr="00C4795A">
        <w:rPr>
          <w:rFonts w:ascii="Times New Roman" w:hAnsi="Times New Roman" w:cs="Times New Roman"/>
          <w:sz w:val="24"/>
          <w:szCs w:val="24"/>
        </w:rPr>
        <w:t>.</w:t>
      </w:r>
    </w:p>
    <w:p w14:paraId="32E6507B" w14:textId="4400F0DF" w:rsidR="001F7069" w:rsidRPr="00C4795A" w:rsidRDefault="004C5FB4" w:rsidP="002177E1">
      <w:pPr>
        <w:spacing w:after="0"/>
        <w:jc w:val="both"/>
        <w:rPr>
          <w:rFonts w:ascii="Times New Roman" w:hAnsi="Times New Roman" w:cs="Times New Roman"/>
          <w:sz w:val="24"/>
          <w:szCs w:val="24"/>
        </w:rPr>
      </w:pPr>
      <w:r w:rsidRPr="00C4795A">
        <w:rPr>
          <w:rFonts w:ascii="Times New Roman" w:hAnsi="Times New Roman" w:cs="Times New Roman"/>
          <w:sz w:val="24"/>
          <w:szCs w:val="24"/>
        </w:rPr>
        <w:t>Nel p</w:t>
      </w:r>
      <w:r w:rsidR="00CB3A70" w:rsidRPr="00C4795A">
        <w:rPr>
          <w:rFonts w:ascii="Times New Roman" w:hAnsi="Times New Roman" w:cs="Times New Roman"/>
          <w:sz w:val="24"/>
          <w:szCs w:val="24"/>
        </w:rPr>
        <w:t>rimo scenario</w:t>
      </w:r>
      <w:r w:rsidR="00BE54D9" w:rsidRPr="00C4795A">
        <w:rPr>
          <w:rFonts w:ascii="Times New Roman" w:hAnsi="Times New Roman" w:cs="Times New Roman"/>
          <w:sz w:val="24"/>
          <w:szCs w:val="24"/>
        </w:rPr>
        <w:t xml:space="preserve">, in assenza di ricorso al controllo accentrato della </w:t>
      </w:r>
      <w:r w:rsidR="005E558E" w:rsidRPr="00C4795A">
        <w:rPr>
          <w:rFonts w:ascii="Times New Roman" w:hAnsi="Times New Roman" w:cs="Times New Roman"/>
          <w:sz w:val="24"/>
          <w:szCs w:val="24"/>
        </w:rPr>
        <w:t>C</w:t>
      </w:r>
      <w:r w:rsidR="00BE54D9" w:rsidRPr="00C4795A">
        <w:rPr>
          <w:rFonts w:ascii="Times New Roman" w:hAnsi="Times New Roman" w:cs="Times New Roman"/>
          <w:sz w:val="24"/>
          <w:szCs w:val="24"/>
        </w:rPr>
        <w:t xml:space="preserve">orte, </w:t>
      </w:r>
      <w:r w:rsidR="00246BF3" w:rsidRPr="00C4795A">
        <w:rPr>
          <w:rFonts w:ascii="Times New Roman" w:hAnsi="Times New Roman" w:cs="Times New Roman"/>
          <w:sz w:val="24"/>
          <w:szCs w:val="24"/>
        </w:rPr>
        <w:t xml:space="preserve">potranno continuare a protrarsi </w:t>
      </w:r>
      <w:r w:rsidR="00CB3A70" w:rsidRPr="00C4795A">
        <w:rPr>
          <w:rFonts w:ascii="Times New Roman" w:hAnsi="Times New Roman" w:cs="Times New Roman"/>
          <w:sz w:val="24"/>
          <w:szCs w:val="24"/>
        </w:rPr>
        <w:t xml:space="preserve">prassi amministrative </w:t>
      </w:r>
      <w:r w:rsidR="00BE54D9" w:rsidRPr="00C4795A">
        <w:rPr>
          <w:rFonts w:ascii="Times New Roman" w:hAnsi="Times New Roman" w:cs="Times New Roman"/>
          <w:sz w:val="24"/>
          <w:szCs w:val="24"/>
        </w:rPr>
        <w:t>anti-</w:t>
      </w:r>
      <w:r w:rsidR="00B9384B" w:rsidRPr="00C4795A">
        <w:rPr>
          <w:rFonts w:ascii="Times New Roman" w:hAnsi="Times New Roman" w:cs="Times New Roman"/>
          <w:sz w:val="24"/>
          <w:szCs w:val="24"/>
        </w:rPr>
        <w:t xml:space="preserve">unionali </w:t>
      </w:r>
      <w:r w:rsidR="00E529BC" w:rsidRPr="00C4795A">
        <w:rPr>
          <w:rFonts w:ascii="Times New Roman" w:hAnsi="Times New Roman" w:cs="Times New Roman"/>
          <w:sz w:val="24"/>
          <w:szCs w:val="24"/>
        </w:rPr>
        <w:t xml:space="preserve">e </w:t>
      </w:r>
      <w:r w:rsidR="00CB3A70" w:rsidRPr="00C4795A">
        <w:rPr>
          <w:rFonts w:ascii="Times New Roman" w:hAnsi="Times New Roman" w:cs="Times New Roman"/>
          <w:sz w:val="24"/>
          <w:szCs w:val="24"/>
        </w:rPr>
        <w:t xml:space="preserve">conflitti interpretativi in sede giudiziale. </w:t>
      </w:r>
    </w:p>
    <w:p w14:paraId="5F917270" w14:textId="2540D0AC" w:rsidR="00457094" w:rsidRPr="00C4795A" w:rsidRDefault="00CB3A70" w:rsidP="002177E1">
      <w:pPr>
        <w:spacing w:after="0"/>
        <w:jc w:val="both"/>
        <w:rPr>
          <w:rFonts w:ascii="Times New Roman" w:hAnsi="Times New Roman" w:cs="Times New Roman"/>
          <w:sz w:val="24"/>
          <w:szCs w:val="24"/>
          <w:shd w:val="clear" w:color="auto" w:fill="FFFFFF"/>
        </w:rPr>
      </w:pPr>
      <w:r w:rsidRPr="00C4795A">
        <w:rPr>
          <w:rFonts w:ascii="Times New Roman" w:hAnsi="Times New Roman" w:cs="Times New Roman"/>
          <w:sz w:val="24"/>
          <w:szCs w:val="24"/>
        </w:rPr>
        <w:t xml:space="preserve">Quanto l’ipotesi sia </w:t>
      </w:r>
      <w:r w:rsidR="00BE54D9" w:rsidRPr="00C4795A">
        <w:rPr>
          <w:rFonts w:ascii="Times New Roman" w:hAnsi="Times New Roman" w:cs="Times New Roman"/>
          <w:sz w:val="24"/>
          <w:szCs w:val="24"/>
        </w:rPr>
        <w:t xml:space="preserve">concreta e attuale </w:t>
      </w:r>
      <w:r w:rsidRPr="00C4795A">
        <w:rPr>
          <w:rFonts w:ascii="Times New Roman" w:hAnsi="Times New Roman" w:cs="Times New Roman"/>
          <w:sz w:val="24"/>
          <w:szCs w:val="24"/>
        </w:rPr>
        <w:t xml:space="preserve">lo dimostra </w:t>
      </w:r>
      <w:r w:rsidR="004E68DE" w:rsidRPr="00C4795A">
        <w:rPr>
          <w:rFonts w:ascii="Times New Roman" w:hAnsi="Times New Roman" w:cs="Times New Roman"/>
          <w:sz w:val="24"/>
          <w:szCs w:val="24"/>
        </w:rPr>
        <w:t xml:space="preserve">– </w:t>
      </w:r>
      <w:r w:rsidR="00457094" w:rsidRPr="00C4795A">
        <w:rPr>
          <w:rFonts w:ascii="Times New Roman" w:hAnsi="Times New Roman" w:cs="Times New Roman"/>
          <w:sz w:val="24"/>
          <w:szCs w:val="24"/>
        </w:rPr>
        <w:t xml:space="preserve">esemplificativamente </w:t>
      </w:r>
      <w:r w:rsidR="004E68DE" w:rsidRPr="00C4795A">
        <w:rPr>
          <w:rFonts w:ascii="Times New Roman" w:hAnsi="Times New Roman" w:cs="Times New Roman"/>
          <w:sz w:val="24"/>
          <w:szCs w:val="24"/>
        </w:rPr>
        <w:t xml:space="preserve">– </w:t>
      </w:r>
      <w:r w:rsidRPr="00C4795A">
        <w:rPr>
          <w:rFonts w:ascii="Times New Roman" w:hAnsi="Times New Roman" w:cs="Times New Roman"/>
          <w:sz w:val="24"/>
          <w:szCs w:val="24"/>
        </w:rPr>
        <w:t>il caso dell’addizionale provinciale alle accise sull’energia elettrica</w:t>
      </w:r>
      <w:r w:rsidR="004C5FB4" w:rsidRPr="00C4795A">
        <w:rPr>
          <w:rFonts w:ascii="Times New Roman" w:hAnsi="Times New Roman" w:cs="Times New Roman"/>
          <w:sz w:val="24"/>
          <w:szCs w:val="24"/>
          <w:shd w:val="clear" w:color="auto" w:fill="FFFFFF"/>
        </w:rPr>
        <w:t xml:space="preserve">. </w:t>
      </w:r>
      <w:r w:rsidR="00457094" w:rsidRPr="00C4795A">
        <w:rPr>
          <w:rFonts w:ascii="Times New Roman" w:hAnsi="Times New Roman" w:cs="Times New Roman"/>
          <w:sz w:val="24"/>
          <w:szCs w:val="24"/>
        </w:rPr>
        <w:t>N</w:t>
      </w:r>
      <w:r w:rsidR="0097416B" w:rsidRPr="00C4795A">
        <w:rPr>
          <w:rFonts w:ascii="Times New Roman" w:hAnsi="Times New Roman" w:cs="Times New Roman"/>
          <w:sz w:val="24"/>
          <w:szCs w:val="24"/>
        </w:rPr>
        <w:t xml:space="preserve">onostante </w:t>
      </w:r>
      <w:r w:rsidR="001E6963" w:rsidRPr="00C4795A">
        <w:rPr>
          <w:rFonts w:ascii="Times New Roman" w:hAnsi="Times New Roman" w:cs="Times New Roman"/>
          <w:sz w:val="24"/>
          <w:szCs w:val="24"/>
        </w:rPr>
        <w:t xml:space="preserve">il consolidato orientamento </w:t>
      </w:r>
      <w:r w:rsidR="0097416B" w:rsidRPr="00C4795A">
        <w:rPr>
          <w:rFonts w:ascii="Times New Roman" w:hAnsi="Times New Roman" w:cs="Times New Roman"/>
          <w:sz w:val="24"/>
          <w:szCs w:val="24"/>
        </w:rPr>
        <w:t>della Corte di Cassazione e della CGUE</w:t>
      </w:r>
      <w:r w:rsidR="0047115A" w:rsidRPr="00C4795A">
        <w:rPr>
          <w:rStyle w:val="Rimandonotaapidipagina"/>
          <w:rFonts w:ascii="Times New Roman" w:hAnsi="Times New Roman" w:cs="Times New Roman"/>
          <w:sz w:val="24"/>
          <w:szCs w:val="24"/>
        </w:rPr>
        <w:footnoteReference w:id="36"/>
      </w:r>
      <w:r w:rsidR="001E6963" w:rsidRPr="00C4795A">
        <w:rPr>
          <w:rFonts w:ascii="Times New Roman" w:hAnsi="Times New Roman" w:cs="Times New Roman"/>
          <w:sz w:val="24"/>
          <w:szCs w:val="24"/>
        </w:rPr>
        <w:t xml:space="preserve"> circa l’incompatibilità fra l’art. 6</w:t>
      </w:r>
      <w:r w:rsidR="000F5498" w:rsidRPr="00C4795A">
        <w:rPr>
          <w:rFonts w:ascii="Times New Roman" w:hAnsi="Times New Roman" w:cs="Times New Roman"/>
          <w:sz w:val="24"/>
          <w:szCs w:val="24"/>
        </w:rPr>
        <w:t xml:space="preserve"> del</w:t>
      </w:r>
      <w:r w:rsidR="001E6963" w:rsidRPr="00C4795A">
        <w:rPr>
          <w:rFonts w:ascii="Times New Roman" w:hAnsi="Times New Roman" w:cs="Times New Roman"/>
          <w:sz w:val="24"/>
          <w:szCs w:val="24"/>
        </w:rPr>
        <w:t xml:space="preserve"> D.L. n. 511 del 1988 (che introduceva un’addizionale provinciale alle accise sull’energia elettrica), e la direttiva 2008/118/CE del Consiglio</w:t>
      </w:r>
      <w:r w:rsidR="001E6963" w:rsidRPr="00C4795A">
        <w:rPr>
          <w:rStyle w:val="Rimandonotaapidipagina"/>
          <w:rFonts w:ascii="Times New Roman" w:hAnsi="Times New Roman" w:cs="Times New Roman"/>
          <w:sz w:val="24"/>
          <w:szCs w:val="24"/>
        </w:rPr>
        <w:footnoteReference w:id="37"/>
      </w:r>
      <w:r w:rsidR="001E6963" w:rsidRPr="00C4795A">
        <w:rPr>
          <w:rFonts w:ascii="Times New Roman" w:hAnsi="Times New Roman" w:cs="Times New Roman"/>
          <w:sz w:val="24"/>
          <w:szCs w:val="24"/>
        </w:rPr>
        <w:t xml:space="preserve">, </w:t>
      </w:r>
      <w:r w:rsidR="0097416B" w:rsidRPr="00C4795A">
        <w:rPr>
          <w:rFonts w:ascii="Times New Roman" w:hAnsi="Times New Roman" w:cs="Times New Roman"/>
          <w:sz w:val="24"/>
          <w:szCs w:val="24"/>
        </w:rPr>
        <w:t xml:space="preserve">non si è mai raggiunta uniformità di valutazione tra i giudici comuni, divisi sull’interpretazione dei limiti ai c.d. effetti diretti orizzontali della disciplina unionale. </w:t>
      </w:r>
      <w:r w:rsidR="001E6963" w:rsidRPr="00C4795A">
        <w:rPr>
          <w:rFonts w:ascii="Times New Roman" w:hAnsi="Times New Roman" w:cs="Times New Roman"/>
          <w:sz w:val="24"/>
          <w:szCs w:val="24"/>
        </w:rPr>
        <w:t>Diversi</w:t>
      </w:r>
      <w:r w:rsidR="0097416B" w:rsidRPr="00C4795A">
        <w:rPr>
          <w:rFonts w:ascii="Times New Roman" w:hAnsi="Times New Roman" w:cs="Times New Roman"/>
          <w:sz w:val="24"/>
          <w:szCs w:val="24"/>
        </w:rPr>
        <w:t xml:space="preserve"> giudici</w:t>
      </w:r>
      <w:r w:rsidR="001E6963" w:rsidRPr="00C4795A">
        <w:rPr>
          <w:rFonts w:ascii="Times New Roman" w:hAnsi="Times New Roman" w:cs="Times New Roman"/>
          <w:sz w:val="24"/>
          <w:szCs w:val="24"/>
        </w:rPr>
        <w:t xml:space="preserve"> comuni</w:t>
      </w:r>
      <w:r w:rsidR="0097416B" w:rsidRPr="00C4795A">
        <w:rPr>
          <w:rFonts w:ascii="Times New Roman" w:hAnsi="Times New Roman" w:cs="Times New Roman"/>
          <w:sz w:val="24"/>
          <w:szCs w:val="24"/>
        </w:rPr>
        <w:t xml:space="preserve">, infatti, pur rilevando il </w:t>
      </w:r>
      <w:r w:rsidR="001E6963" w:rsidRPr="00C4795A">
        <w:rPr>
          <w:rFonts w:ascii="Times New Roman" w:hAnsi="Times New Roman" w:cs="Times New Roman"/>
          <w:sz w:val="24"/>
          <w:szCs w:val="24"/>
        </w:rPr>
        <w:t xml:space="preserve">contrasto, </w:t>
      </w:r>
      <w:r w:rsidR="0097416B" w:rsidRPr="00C4795A">
        <w:rPr>
          <w:rFonts w:ascii="Times New Roman" w:hAnsi="Times New Roman" w:cs="Times New Roman"/>
          <w:sz w:val="24"/>
          <w:szCs w:val="24"/>
        </w:rPr>
        <w:t>non procedevano alla disapplicazione della norma interna</w:t>
      </w:r>
      <w:r w:rsidR="0047115A" w:rsidRPr="00C4795A">
        <w:rPr>
          <w:rFonts w:ascii="Times New Roman" w:hAnsi="Times New Roman" w:cs="Times New Roman"/>
          <w:sz w:val="24"/>
          <w:szCs w:val="24"/>
        </w:rPr>
        <w:t xml:space="preserve"> e negavano </w:t>
      </w:r>
      <w:r w:rsidR="0097416B" w:rsidRPr="00C4795A">
        <w:rPr>
          <w:rFonts w:ascii="Times New Roman" w:hAnsi="Times New Roman" w:cs="Times New Roman"/>
          <w:sz w:val="24"/>
          <w:szCs w:val="24"/>
        </w:rPr>
        <w:t xml:space="preserve">conseguentemente gli indennizzi richiesti, perché invocavano </w:t>
      </w:r>
      <w:r w:rsidR="0047115A" w:rsidRPr="00C4795A">
        <w:rPr>
          <w:rFonts w:ascii="Times New Roman" w:hAnsi="Times New Roman" w:cs="Times New Roman"/>
          <w:sz w:val="24"/>
          <w:szCs w:val="24"/>
        </w:rPr>
        <w:t>l’</w:t>
      </w:r>
      <w:r w:rsidR="0097416B" w:rsidRPr="00C4795A">
        <w:rPr>
          <w:rFonts w:ascii="Times New Roman" w:hAnsi="Times New Roman" w:cs="Times New Roman"/>
          <w:sz w:val="24"/>
          <w:szCs w:val="24"/>
        </w:rPr>
        <w:t xml:space="preserve">impossibilità </w:t>
      </w:r>
      <w:r w:rsidR="0097416B" w:rsidRPr="00C4795A">
        <w:rPr>
          <w:rFonts w:ascii="Times New Roman" w:hAnsi="Times New Roman" w:cs="Times New Roman"/>
          <w:i/>
          <w:iCs/>
          <w:sz w:val="24"/>
          <w:szCs w:val="24"/>
        </w:rPr>
        <w:t>de facto</w:t>
      </w:r>
      <w:r w:rsidR="0097416B" w:rsidRPr="00C4795A">
        <w:rPr>
          <w:rFonts w:ascii="Times New Roman" w:hAnsi="Times New Roman" w:cs="Times New Roman"/>
          <w:sz w:val="24"/>
          <w:szCs w:val="24"/>
        </w:rPr>
        <w:t xml:space="preserve"> per l’utente di </w:t>
      </w:r>
      <w:r w:rsidR="0047115A" w:rsidRPr="00C4795A">
        <w:rPr>
          <w:rFonts w:ascii="Times New Roman" w:hAnsi="Times New Roman" w:cs="Times New Roman"/>
          <w:sz w:val="24"/>
          <w:szCs w:val="24"/>
        </w:rPr>
        <w:t xml:space="preserve">rivalersi </w:t>
      </w:r>
      <w:r w:rsidR="0097416B" w:rsidRPr="00C4795A">
        <w:rPr>
          <w:rFonts w:ascii="Times New Roman" w:hAnsi="Times New Roman" w:cs="Times New Roman"/>
          <w:sz w:val="24"/>
          <w:szCs w:val="24"/>
        </w:rPr>
        <w:t xml:space="preserve">sul fornitore </w:t>
      </w:r>
      <w:r w:rsidR="0047115A" w:rsidRPr="00C4795A">
        <w:rPr>
          <w:rFonts w:ascii="Times New Roman" w:hAnsi="Times New Roman" w:cs="Times New Roman"/>
          <w:sz w:val="24"/>
          <w:szCs w:val="24"/>
        </w:rPr>
        <w:t xml:space="preserve">di energia </w:t>
      </w:r>
      <w:r w:rsidR="0097416B" w:rsidRPr="00C4795A">
        <w:rPr>
          <w:rFonts w:ascii="Times New Roman" w:hAnsi="Times New Roman" w:cs="Times New Roman"/>
          <w:sz w:val="24"/>
          <w:szCs w:val="24"/>
        </w:rPr>
        <w:t xml:space="preserve">e quindi ritenevano che </w:t>
      </w:r>
      <w:r w:rsidR="001E6963" w:rsidRPr="00C4795A">
        <w:rPr>
          <w:rFonts w:ascii="Times New Roman" w:hAnsi="Times New Roman" w:cs="Times New Roman"/>
          <w:sz w:val="24"/>
          <w:szCs w:val="24"/>
        </w:rPr>
        <w:t xml:space="preserve">fosse loro </w:t>
      </w:r>
      <w:r w:rsidR="001E6963" w:rsidRPr="00C4795A">
        <w:rPr>
          <w:rFonts w:ascii="Times New Roman" w:hAnsi="Times New Roman" w:cs="Times New Roman"/>
          <w:sz w:val="24"/>
          <w:szCs w:val="24"/>
          <w:shd w:val="clear" w:color="auto" w:fill="FFFFFF"/>
        </w:rPr>
        <w:t xml:space="preserve">precluso il potere di disapplicare </w:t>
      </w:r>
      <w:r w:rsidR="001E6963" w:rsidRPr="00C4795A">
        <w:rPr>
          <w:rFonts w:ascii="Times New Roman" w:hAnsi="Times New Roman" w:cs="Times New Roman"/>
          <w:i/>
          <w:iCs/>
          <w:sz w:val="24"/>
          <w:szCs w:val="24"/>
          <w:shd w:val="clear" w:color="auto" w:fill="FFFFFF"/>
        </w:rPr>
        <w:t xml:space="preserve">in </w:t>
      </w:r>
      <w:proofErr w:type="spellStart"/>
      <w:r w:rsidR="001E6963" w:rsidRPr="00C4795A">
        <w:rPr>
          <w:rFonts w:ascii="Times New Roman" w:hAnsi="Times New Roman" w:cs="Times New Roman"/>
          <w:i/>
          <w:iCs/>
          <w:sz w:val="24"/>
          <w:szCs w:val="24"/>
          <w:shd w:val="clear" w:color="auto" w:fill="FFFFFF"/>
        </w:rPr>
        <w:t>malam</w:t>
      </w:r>
      <w:proofErr w:type="spellEnd"/>
      <w:r w:rsidR="001E6963" w:rsidRPr="00C4795A">
        <w:rPr>
          <w:rFonts w:ascii="Times New Roman" w:hAnsi="Times New Roman" w:cs="Times New Roman"/>
          <w:i/>
          <w:iCs/>
          <w:sz w:val="24"/>
          <w:szCs w:val="24"/>
          <w:shd w:val="clear" w:color="auto" w:fill="FFFFFF"/>
        </w:rPr>
        <w:t xml:space="preserve"> </w:t>
      </w:r>
      <w:proofErr w:type="spellStart"/>
      <w:r w:rsidR="001E6963" w:rsidRPr="00C4795A">
        <w:rPr>
          <w:rFonts w:ascii="Times New Roman" w:hAnsi="Times New Roman" w:cs="Times New Roman"/>
          <w:i/>
          <w:iCs/>
          <w:sz w:val="24"/>
          <w:szCs w:val="24"/>
          <w:shd w:val="clear" w:color="auto" w:fill="FFFFFF"/>
        </w:rPr>
        <w:t>partem</w:t>
      </w:r>
      <w:proofErr w:type="spellEnd"/>
      <w:r w:rsidR="001E6963" w:rsidRPr="00C4795A">
        <w:rPr>
          <w:rFonts w:ascii="Times New Roman" w:hAnsi="Times New Roman" w:cs="Times New Roman"/>
          <w:sz w:val="24"/>
          <w:szCs w:val="24"/>
          <w:shd w:val="clear" w:color="auto" w:fill="FFFFFF"/>
        </w:rPr>
        <w:t xml:space="preserve"> la </w:t>
      </w:r>
      <w:r w:rsidR="00D711BD" w:rsidRPr="00C4795A">
        <w:rPr>
          <w:rFonts w:ascii="Times New Roman" w:hAnsi="Times New Roman" w:cs="Times New Roman"/>
          <w:sz w:val="24"/>
          <w:szCs w:val="24"/>
          <w:shd w:val="clear" w:color="auto" w:fill="FFFFFF"/>
        </w:rPr>
        <w:t>disciplina nazionale</w:t>
      </w:r>
      <w:r w:rsidR="001E6963" w:rsidRPr="00C4795A">
        <w:rPr>
          <w:rFonts w:ascii="Times New Roman" w:hAnsi="Times New Roman" w:cs="Times New Roman"/>
          <w:sz w:val="24"/>
          <w:szCs w:val="24"/>
          <w:shd w:val="clear" w:color="auto" w:fill="FFFFFF"/>
        </w:rPr>
        <w:t xml:space="preserve"> nei rapporti orizzontali fra privati</w:t>
      </w:r>
      <w:r w:rsidR="0097416B" w:rsidRPr="00C4795A">
        <w:rPr>
          <w:rFonts w:ascii="Times New Roman" w:hAnsi="Times New Roman" w:cs="Times New Roman"/>
          <w:sz w:val="24"/>
          <w:szCs w:val="24"/>
        </w:rPr>
        <w:t xml:space="preserve">. </w:t>
      </w:r>
      <w:r w:rsidR="001E6963" w:rsidRPr="00C4795A">
        <w:rPr>
          <w:rFonts w:ascii="Times New Roman" w:hAnsi="Times New Roman" w:cs="Times New Roman"/>
          <w:sz w:val="24"/>
          <w:szCs w:val="24"/>
        </w:rPr>
        <w:t xml:space="preserve">Si è dovuta attendere la </w:t>
      </w:r>
      <w:r w:rsidR="0097416B" w:rsidRPr="00C4795A">
        <w:rPr>
          <w:rFonts w:ascii="Times New Roman" w:hAnsi="Times New Roman" w:cs="Times New Roman"/>
          <w:sz w:val="24"/>
          <w:szCs w:val="24"/>
        </w:rPr>
        <w:t>sentenza n.</w:t>
      </w:r>
      <w:r w:rsidR="001E6963" w:rsidRPr="00C4795A">
        <w:rPr>
          <w:rFonts w:ascii="Times New Roman" w:hAnsi="Times New Roman" w:cs="Times New Roman"/>
          <w:sz w:val="24"/>
          <w:szCs w:val="24"/>
        </w:rPr>
        <w:t xml:space="preserve"> </w:t>
      </w:r>
      <w:r w:rsidR="0097416B" w:rsidRPr="00C4795A">
        <w:rPr>
          <w:rFonts w:ascii="Times New Roman" w:hAnsi="Times New Roman" w:cs="Times New Roman"/>
          <w:sz w:val="24"/>
          <w:szCs w:val="24"/>
        </w:rPr>
        <w:t>43 del 2025 della Corte cost</w:t>
      </w:r>
      <w:r w:rsidR="001E6963" w:rsidRPr="00C4795A">
        <w:rPr>
          <w:rFonts w:ascii="Times New Roman" w:hAnsi="Times New Roman" w:cs="Times New Roman"/>
          <w:sz w:val="24"/>
          <w:szCs w:val="24"/>
        </w:rPr>
        <w:t>ituzionale, che ha espunto dall’ordinamento la norma interna e dato libero corso alle richieste indennitarie, per porre fine a una situazione di grave incertezza che perdurava da oltre tre anni</w:t>
      </w:r>
      <w:r w:rsidR="000E39B0" w:rsidRPr="00C4795A">
        <w:rPr>
          <w:rStyle w:val="Rimandonotaapidipagina"/>
          <w:rFonts w:ascii="Times New Roman" w:hAnsi="Times New Roman" w:cs="Times New Roman"/>
          <w:sz w:val="24"/>
          <w:szCs w:val="24"/>
        </w:rPr>
        <w:footnoteReference w:id="38"/>
      </w:r>
      <w:r w:rsidR="0097416B" w:rsidRPr="00C4795A">
        <w:rPr>
          <w:rFonts w:ascii="Times New Roman" w:hAnsi="Times New Roman" w:cs="Times New Roman"/>
          <w:sz w:val="24"/>
          <w:szCs w:val="24"/>
        </w:rPr>
        <w:t>.</w:t>
      </w:r>
      <w:bookmarkStart w:id="1" w:name="_Hlk218679501"/>
      <w:bookmarkEnd w:id="0"/>
    </w:p>
    <w:p w14:paraId="1F354E9C" w14:textId="6A2F2EA3" w:rsidR="00822DDF" w:rsidRPr="00C4795A" w:rsidRDefault="00457094" w:rsidP="00E13695">
      <w:pPr>
        <w:pStyle w:val="NormaleWeb"/>
        <w:spacing w:before="0" w:beforeAutospacing="0" w:after="0" w:afterAutospacing="0"/>
        <w:jc w:val="both"/>
      </w:pPr>
      <w:r w:rsidRPr="00C4795A">
        <w:lastRenderedPageBreak/>
        <w:t>D</w:t>
      </w:r>
      <w:r w:rsidR="00946056" w:rsidRPr="00C4795A">
        <w:t xml:space="preserve">isomogeneità </w:t>
      </w:r>
      <w:r w:rsidR="00B9384B" w:rsidRPr="00C4795A">
        <w:t>applicativ</w:t>
      </w:r>
      <w:r w:rsidRPr="00C4795A">
        <w:t>e</w:t>
      </w:r>
      <w:r w:rsidR="00B9384B" w:rsidRPr="00C4795A">
        <w:t xml:space="preserve"> in sede </w:t>
      </w:r>
      <w:r w:rsidR="00946056" w:rsidRPr="00C4795A">
        <w:t xml:space="preserve">amministrativa </w:t>
      </w:r>
      <w:r w:rsidR="00B9384B" w:rsidRPr="00C4795A">
        <w:t xml:space="preserve">e </w:t>
      </w:r>
      <w:r w:rsidR="00946056" w:rsidRPr="00C4795A">
        <w:t>giudiziale</w:t>
      </w:r>
      <w:r w:rsidR="00B9384B" w:rsidRPr="00C4795A">
        <w:t xml:space="preserve"> </w:t>
      </w:r>
      <w:r w:rsidRPr="00C4795A">
        <w:t xml:space="preserve">come quelle appena ricordate </w:t>
      </w:r>
      <w:r w:rsidR="00B9384B" w:rsidRPr="00C4795A">
        <w:t xml:space="preserve">non </w:t>
      </w:r>
      <w:r w:rsidRPr="00C4795A">
        <w:t xml:space="preserve">possono essere rimosse </w:t>
      </w:r>
      <w:r w:rsidR="007C5FF9" w:rsidRPr="00C4795A">
        <w:t xml:space="preserve">interamente </w:t>
      </w:r>
      <w:r w:rsidR="00CD331D" w:rsidRPr="00C4795A">
        <w:t>da</w:t>
      </w:r>
      <w:r w:rsidR="007C5FF9" w:rsidRPr="00C4795A">
        <w:t xml:space="preserve">lla </w:t>
      </w:r>
      <w:r w:rsidR="00861BF8" w:rsidRPr="00C4795A">
        <w:t>legge europea annuale</w:t>
      </w:r>
      <w:r w:rsidR="007C5FF9" w:rsidRPr="00C4795A">
        <w:t>, che</w:t>
      </w:r>
      <w:r w:rsidR="001F6427" w:rsidRPr="00C4795A">
        <w:t>,</w:t>
      </w:r>
      <w:r w:rsidR="007C5FF9" w:rsidRPr="00C4795A">
        <w:t xml:space="preserve"> secondo</w:t>
      </w:r>
      <w:r w:rsidR="00AE3946" w:rsidRPr="00C4795A">
        <w:t xml:space="preserve"> </w:t>
      </w:r>
      <w:r w:rsidR="007C5FF9" w:rsidRPr="00C4795A">
        <w:t>un illustre Autore</w:t>
      </w:r>
      <w:r w:rsidRPr="00C4795A">
        <w:t xml:space="preserve">, </w:t>
      </w:r>
      <w:r w:rsidR="007C5FF9" w:rsidRPr="00C4795A">
        <w:t>renderebbe non necessario l’intervento della Corte</w:t>
      </w:r>
      <w:r w:rsidR="007C5FF9" w:rsidRPr="00C4795A">
        <w:rPr>
          <w:rStyle w:val="Rimandonotaapidipagina"/>
        </w:rPr>
        <w:footnoteReference w:id="39"/>
      </w:r>
      <w:r w:rsidR="007C5FF9" w:rsidRPr="00C4795A">
        <w:t xml:space="preserve">. Questa legge, </w:t>
      </w:r>
      <w:r w:rsidR="00946056" w:rsidRPr="00C4795A">
        <w:t xml:space="preserve">per come oggi </w:t>
      </w:r>
      <w:r w:rsidR="007C5FF9" w:rsidRPr="00C4795A">
        <w:t>viene</w:t>
      </w:r>
      <w:r w:rsidR="002B4218" w:rsidRPr="00C4795A">
        <w:t xml:space="preserve"> concretamente formandosi</w:t>
      </w:r>
      <w:r w:rsidR="00946056" w:rsidRPr="00C4795A">
        <w:t xml:space="preserve">, </w:t>
      </w:r>
      <w:r w:rsidR="007C5FF9" w:rsidRPr="00C4795A">
        <w:t xml:space="preserve">non è adeguata </w:t>
      </w:r>
      <w:r w:rsidR="00946056" w:rsidRPr="00C4795A">
        <w:t>a ripristinare le condizioni di uniforme applicazione e di certezza del diritto.</w:t>
      </w:r>
      <w:r w:rsidR="007C5FF9" w:rsidRPr="00C4795A">
        <w:t xml:space="preserve"> </w:t>
      </w:r>
      <w:r w:rsidR="00946056" w:rsidRPr="00C4795A">
        <w:t>L’istruttoria è</w:t>
      </w:r>
      <w:r w:rsidR="00E529BC" w:rsidRPr="00C4795A">
        <w:t>,</w:t>
      </w:r>
      <w:r w:rsidR="00946056" w:rsidRPr="00C4795A">
        <w:t xml:space="preserve"> </w:t>
      </w:r>
      <w:r w:rsidR="007C5FF9" w:rsidRPr="00C4795A">
        <w:t>infatti</w:t>
      </w:r>
      <w:r w:rsidR="00E529BC" w:rsidRPr="00C4795A">
        <w:t>,</w:t>
      </w:r>
      <w:r w:rsidR="007C5FF9" w:rsidRPr="00C4795A">
        <w:t xml:space="preserve"> </w:t>
      </w:r>
      <w:r w:rsidR="00946056" w:rsidRPr="00C4795A">
        <w:t>incentrata sulle d</w:t>
      </w:r>
      <w:r w:rsidR="007C5FF9" w:rsidRPr="00C4795A">
        <w:t xml:space="preserve">irettive </w:t>
      </w:r>
      <w:r w:rsidR="00946056" w:rsidRPr="00C4795A">
        <w:t xml:space="preserve">da attuare e sulla </w:t>
      </w:r>
      <w:r w:rsidR="007C5FF9" w:rsidRPr="00C4795A">
        <w:t>rimozione</w:t>
      </w:r>
      <w:r w:rsidR="00946056" w:rsidRPr="00C4795A">
        <w:t xml:space="preserve"> d</w:t>
      </w:r>
      <w:r w:rsidR="007C5FF9" w:rsidRPr="00C4795A">
        <w:t>a</w:t>
      </w:r>
      <w:r w:rsidR="00946056" w:rsidRPr="00C4795A">
        <w:t>l te</w:t>
      </w:r>
      <w:r w:rsidR="007C5FF9" w:rsidRPr="00C4795A">
        <w:t xml:space="preserve">ssuto </w:t>
      </w:r>
      <w:r w:rsidR="00946056" w:rsidRPr="00C4795A">
        <w:t xml:space="preserve">normativo </w:t>
      </w:r>
      <w:r w:rsidR="007C5FF9" w:rsidRPr="00C4795A">
        <w:t xml:space="preserve">delle norme con esse incompatibili. In sostanza, la ricognizione compiuta dai Ministeri competenti riguarda le norme che </w:t>
      </w:r>
      <w:r w:rsidR="00235DEF" w:rsidRPr="00C4795A">
        <w:t xml:space="preserve">possono creare ostacolo alla disciplina </w:t>
      </w:r>
      <w:r w:rsidR="00593C35" w:rsidRPr="00C4795A">
        <w:t xml:space="preserve">da recepire </w:t>
      </w:r>
      <w:r w:rsidR="00235DEF" w:rsidRPr="00C4795A">
        <w:t xml:space="preserve">e </w:t>
      </w:r>
      <w:r w:rsidR="0025516C" w:rsidRPr="00C4795A">
        <w:t>talvolta</w:t>
      </w:r>
      <w:r w:rsidR="002B4218" w:rsidRPr="00C4795A">
        <w:t xml:space="preserve"> </w:t>
      </w:r>
      <w:r w:rsidR="00235DEF" w:rsidRPr="00C4795A">
        <w:t>quelle che hanno dato causa a procedure di infrazione</w:t>
      </w:r>
      <w:r w:rsidR="007C5FF9" w:rsidRPr="00C4795A">
        <w:t>, ma nessuna amministrazione</w:t>
      </w:r>
      <w:r w:rsidR="00235DEF" w:rsidRPr="00C4795A">
        <w:t xml:space="preserve"> </w:t>
      </w:r>
      <w:r w:rsidR="007C5FF9" w:rsidRPr="00C4795A">
        <w:t xml:space="preserve">censisce </w:t>
      </w:r>
      <w:r w:rsidR="00E30C9F" w:rsidRPr="00C4795A">
        <w:t xml:space="preserve">tutte </w:t>
      </w:r>
      <w:r w:rsidR="007C5FF9" w:rsidRPr="00C4795A">
        <w:t xml:space="preserve">le ipotesi </w:t>
      </w:r>
      <w:r w:rsidR="00235DEF" w:rsidRPr="00C4795A">
        <w:t xml:space="preserve">di </w:t>
      </w:r>
      <w:r w:rsidR="007C5FF9" w:rsidRPr="00C4795A">
        <w:t xml:space="preserve">disapplicazione </w:t>
      </w:r>
      <w:r w:rsidR="00436A2A" w:rsidRPr="00C4795A">
        <w:t xml:space="preserve">amministrativa e </w:t>
      </w:r>
      <w:r w:rsidR="007C5FF9" w:rsidRPr="00C4795A">
        <w:t>giudiziale</w:t>
      </w:r>
      <w:r w:rsidR="00235DEF" w:rsidRPr="00C4795A">
        <w:t xml:space="preserve"> </w:t>
      </w:r>
      <w:r w:rsidR="002B4218" w:rsidRPr="00C4795A">
        <w:t>di norme nazionali</w:t>
      </w:r>
      <w:r w:rsidR="00860B10" w:rsidRPr="00C4795A">
        <w:t xml:space="preserve"> per incompatibilità comunitaria</w:t>
      </w:r>
      <w:r w:rsidR="00235DEF" w:rsidRPr="00C4795A">
        <w:rPr>
          <w:rStyle w:val="Rimandonotaapidipagina"/>
        </w:rPr>
        <w:footnoteReference w:id="40"/>
      </w:r>
      <w:r w:rsidR="007C5FF9" w:rsidRPr="00C4795A">
        <w:t xml:space="preserve">. </w:t>
      </w:r>
      <w:r w:rsidR="00235DEF" w:rsidRPr="00C4795A">
        <w:t>L</w:t>
      </w:r>
      <w:r w:rsidR="00946056" w:rsidRPr="00C4795A">
        <w:t xml:space="preserve">e abrogazioni disposte annualmente dalla legge europea </w:t>
      </w:r>
      <w:r w:rsidR="00235DEF" w:rsidRPr="00C4795A">
        <w:t xml:space="preserve">non </w:t>
      </w:r>
      <w:r w:rsidR="00946056" w:rsidRPr="00C4795A">
        <w:t xml:space="preserve">coprono, </w:t>
      </w:r>
      <w:r w:rsidR="00235DEF" w:rsidRPr="00C4795A">
        <w:t xml:space="preserve">dunque, che una frazione delle </w:t>
      </w:r>
      <w:r w:rsidR="00946056" w:rsidRPr="00C4795A">
        <w:t xml:space="preserve">norme che nella prassi amministrativa </w:t>
      </w:r>
      <w:r w:rsidR="00235DEF" w:rsidRPr="00C4795A">
        <w:t xml:space="preserve">e giudiziale </w:t>
      </w:r>
      <w:r w:rsidR="00946056" w:rsidRPr="00C4795A">
        <w:t xml:space="preserve">sono </w:t>
      </w:r>
      <w:r w:rsidR="00235DEF" w:rsidRPr="00C4795A">
        <w:t xml:space="preserve">state ritenute </w:t>
      </w:r>
      <w:r w:rsidR="00946056" w:rsidRPr="00C4795A">
        <w:t xml:space="preserve">incompatibili con il diritto </w:t>
      </w:r>
      <w:r w:rsidR="00235DEF" w:rsidRPr="00C4795A">
        <w:t>dell’</w:t>
      </w:r>
      <w:r w:rsidR="00946056" w:rsidRPr="00C4795A">
        <w:t>U</w:t>
      </w:r>
      <w:r w:rsidR="00235DEF" w:rsidRPr="00C4795A">
        <w:t>nione</w:t>
      </w:r>
      <w:r w:rsidR="00860B10" w:rsidRPr="00C4795A">
        <w:t>. R</w:t>
      </w:r>
      <w:r w:rsidR="00235DEF" w:rsidRPr="00C4795A">
        <w:t>estano</w:t>
      </w:r>
      <w:r w:rsidR="00860B10" w:rsidRPr="00C4795A">
        <w:t xml:space="preserve">, perciò, </w:t>
      </w:r>
      <w:r w:rsidR="00946056" w:rsidRPr="00C4795A">
        <w:t xml:space="preserve">operanti nell’ordinamento norme anti-unionali che </w:t>
      </w:r>
      <w:r w:rsidR="00235DEF" w:rsidRPr="00C4795A">
        <w:t xml:space="preserve">continuano a formare </w:t>
      </w:r>
      <w:r w:rsidR="00946056" w:rsidRPr="00C4795A">
        <w:t xml:space="preserve">oggetto di applicazione differenziata e diseguale, con sacrificio della certezza del diritto, ma ancor più decisivamente del </w:t>
      </w:r>
      <w:r w:rsidR="00097E3C" w:rsidRPr="00C4795A">
        <w:t>principio supremo di eguaglianza</w:t>
      </w:r>
      <w:r w:rsidR="00097E3C" w:rsidRPr="00C4795A">
        <w:rPr>
          <w:rStyle w:val="Rimandonotaapidipagina"/>
        </w:rPr>
        <w:footnoteReference w:id="41"/>
      </w:r>
      <w:r w:rsidR="00946056" w:rsidRPr="00C4795A">
        <w:t>.</w:t>
      </w:r>
    </w:p>
    <w:p w14:paraId="316ED11C" w14:textId="77777777" w:rsidR="000E39B0" w:rsidRPr="00C4795A" w:rsidRDefault="000E39B0" w:rsidP="000E39B0">
      <w:pPr>
        <w:spacing w:after="0"/>
        <w:jc w:val="both"/>
        <w:rPr>
          <w:rFonts w:ascii="Times New Roman" w:hAnsi="Times New Roman" w:cs="Times New Roman"/>
          <w:sz w:val="24"/>
          <w:szCs w:val="24"/>
        </w:rPr>
      </w:pPr>
      <w:r w:rsidRPr="00C4795A">
        <w:rPr>
          <w:rFonts w:ascii="Times New Roman" w:hAnsi="Times New Roman" w:cs="Times New Roman"/>
          <w:sz w:val="24"/>
          <w:szCs w:val="24"/>
        </w:rPr>
        <w:t>Occorre infine considerare che si danno ipotesi nelle quali la scelta in favore della disapplicazione anziché dell’incidente costituzionale appare processualmente conveniente e quasi ‘obbligata’ per il giudice comune.</w:t>
      </w:r>
    </w:p>
    <w:p w14:paraId="7082D2EA" w14:textId="6C179EAF" w:rsidR="00F31464" w:rsidRPr="00C4795A" w:rsidRDefault="000E39B0" w:rsidP="000E39B0">
      <w:pPr>
        <w:spacing w:after="0" w:line="240" w:lineRule="auto"/>
        <w:jc w:val="both"/>
        <w:rPr>
          <w:rFonts w:ascii="Times New Roman" w:hAnsi="Times New Roman" w:cs="Times New Roman"/>
          <w:sz w:val="24"/>
          <w:szCs w:val="24"/>
        </w:rPr>
      </w:pPr>
      <w:r w:rsidRPr="00C4795A">
        <w:rPr>
          <w:rFonts w:ascii="Times New Roman" w:hAnsi="Times New Roman" w:cs="Times New Roman"/>
          <w:sz w:val="24"/>
          <w:szCs w:val="24"/>
        </w:rPr>
        <w:t>Per i giudici di ultima istanza, per i quali l’inosservanza dell’obbligo di proposizione di una domanda pregiudiziale concretizza un’ipotesi di responsabilità civile</w:t>
      </w:r>
      <w:r w:rsidRPr="00C4795A">
        <w:rPr>
          <w:rStyle w:val="Rimandonotaapidipagina"/>
          <w:rFonts w:ascii="Times New Roman" w:hAnsi="Times New Roman" w:cs="Times New Roman"/>
          <w:sz w:val="24"/>
          <w:szCs w:val="24"/>
        </w:rPr>
        <w:footnoteReference w:id="42"/>
      </w:r>
      <w:r w:rsidRPr="00C4795A">
        <w:rPr>
          <w:rFonts w:ascii="Times New Roman" w:hAnsi="Times New Roman" w:cs="Times New Roman"/>
          <w:sz w:val="24"/>
          <w:szCs w:val="24"/>
        </w:rPr>
        <w:t xml:space="preserve"> che non viene meno neppure quando il giudice costituzionale si sia pronunciato su parametri interni sostanzialmente riproduttivi di quelli europei</w:t>
      </w:r>
      <w:r w:rsidRPr="00C4795A">
        <w:rPr>
          <w:rStyle w:val="Rimandonotaapidipagina"/>
          <w:rFonts w:ascii="Times New Roman" w:hAnsi="Times New Roman" w:cs="Times New Roman"/>
          <w:sz w:val="24"/>
          <w:szCs w:val="24"/>
        </w:rPr>
        <w:footnoteReference w:id="43"/>
      </w:r>
      <w:r w:rsidRPr="00C4795A">
        <w:rPr>
          <w:rFonts w:ascii="Times New Roman" w:hAnsi="Times New Roman" w:cs="Times New Roman"/>
          <w:sz w:val="24"/>
          <w:szCs w:val="24"/>
        </w:rPr>
        <w:t xml:space="preserve">, la scelta di ‘ignorare’ la sentenza n. 181 potrebbe rivelarsi processualmente conveniente. L’esonero dall’obbligo di rinvio pregiudiziale è, in effetti, condizionato dalla circostanza che non sussista alcun dubbio interpretativo circa la natura della norma UE (secondo la teoria del c.d. atto chiaro e i canoni fissati dalla giurisprudenza </w:t>
      </w:r>
      <w:r w:rsidRPr="00C4795A">
        <w:rPr>
          <w:rFonts w:ascii="Times New Roman" w:hAnsi="Times New Roman" w:cs="Times New Roman"/>
          <w:i/>
          <w:iCs/>
          <w:sz w:val="24"/>
          <w:szCs w:val="24"/>
        </w:rPr>
        <w:t>CILFIT</w:t>
      </w:r>
      <w:r w:rsidRPr="00C4795A">
        <w:rPr>
          <w:rFonts w:ascii="Times New Roman" w:hAnsi="Times New Roman" w:cs="Times New Roman"/>
          <w:sz w:val="24"/>
          <w:szCs w:val="24"/>
        </w:rPr>
        <w:t>)</w:t>
      </w:r>
      <w:r w:rsidRPr="00C4795A">
        <w:rPr>
          <w:rStyle w:val="Rimandonotaapidipagina"/>
          <w:rFonts w:ascii="Times New Roman" w:hAnsi="Times New Roman" w:cs="Times New Roman"/>
          <w:sz w:val="24"/>
          <w:szCs w:val="24"/>
        </w:rPr>
        <w:footnoteReference w:id="44"/>
      </w:r>
      <w:r w:rsidRPr="00C4795A">
        <w:rPr>
          <w:rFonts w:ascii="Times New Roman" w:hAnsi="Times New Roman" w:cs="Times New Roman"/>
          <w:sz w:val="24"/>
          <w:szCs w:val="24"/>
        </w:rPr>
        <w:t xml:space="preserve">; ma quando il giudice solleva una </w:t>
      </w:r>
      <w:proofErr w:type="spellStart"/>
      <w:r w:rsidRPr="00C4795A">
        <w:rPr>
          <w:rFonts w:ascii="Times New Roman" w:hAnsi="Times New Roman" w:cs="Times New Roman"/>
          <w:sz w:val="24"/>
          <w:szCs w:val="24"/>
        </w:rPr>
        <w:t>q.l.c</w:t>
      </w:r>
      <w:proofErr w:type="spellEnd"/>
      <w:r w:rsidRPr="00C4795A">
        <w:rPr>
          <w:rFonts w:ascii="Times New Roman" w:hAnsi="Times New Roman" w:cs="Times New Roman"/>
          <w:sz w:val="24"/>
          <w:szCs w:val="24"/>
        </w:rPr>
        <w:t>. che vede come parametro interposto, per il tramite degli artt. 11 e 117, primo comma, Cost., una norma eurounitaria, formula un</w:t>
      </w:r>
      <w:r w:rsidR="00C277F1" w:rsidRPr="00C4795A">
        <w:rPr>
          <w:rFonts w:ascii="Times New Roman" w:hAnsi="Times New Roman" w:cs="Times New Roman"/>
          <w:sz w:val="24"/>
          <w:szCs w:val="24"/>
        </w:rPr>
        <w:t xml:space="preserve"> dubbio</w:t>
      </w:r>
      <w:r w:rsidRPr="00C4795A">
        <w:rPr>
          <w:rFonts w:ascii="Times New Roman" w:hAnsi="Times New Roman" w:cs="Times New Roman"/>
          <w:sz w:val="24"/>
          <w:szCs w:val="24"/>
        </w:rPr>
        <w:t xml:space="preserve"> di costituzionalità che </w:t>
      </w:r>
      <w:r w:rsidR="00C84567" w:rsidRPr="00C4795A">
        <w:rPr>
          <w:rFonts w:ascii="Times New Roman" w:hAnsi="Times New Roman" w:cs="Times New Roman"/>
          <w:sz w:val="24"/>
          <w:szCs w:val="24"/>
        </w:rPr>
        <w:t xml:space="preserve">denuncia </w:t>
      </w:r>
      <w:r w:rsidR="00F30611" w:rsidRPr="00C4795A">
        <w:rPr>
          <w:rFonts w:ascii="Times New Roman" w:hAnsi="Times New Roman" w:cs="Times New Roman"/>
          <w:sz w:val="24"/>
          <w:szCs w:val="24"/>
        </w:rPr>
        <w:t>il permanere</w:t>
      </w:r>
      <w:r w:rsidR="00AF49B6" w:rsidRPr="00C4795A">
        <w:rPr>
          <w:rFonts w:ascii="Times New Roman" w:hAnsi="Times New Roman" w:cs="Times New Roman"/>
          <w:sz w:val="24"/>
          <w:szCs w:val="24"/>
        </w:rPr>
        <w:t xml:space="preserve"> </w:t>
      </w:r>
      <w:r w:rsidR="00F30611" w:rsidRPr="00C4795A">
        <w:rPr>
          <w:rFonts w:ascii="Times New Roman" w:hAnsi="Times New Roman" w:cs="Times New Roman"/>
          <w:sz w:val="24"/>
          <w:szCs w:val="24"/>
        </w:rPr>
        <w:t>di un’</w:t>
      </w:r>
      <w:r w:rsidR="00C84567" w:rsidRPr="00C4795A">
        <w:rPr>
          <w:rFonts w:ascii="Times New Roman" w:hAnsi="Times New Roman" w:cs="Times New Roman"/>
          <w:sz w:val="24"/>
          <w:szCs w:val="24"/>
        </w:rPr>
        <w:t xml:space="preserve">incertezza </w:t>
      </w:r>
      <w:r w:rsidR="00F30611" w:rsidRPr="00C4795A">
        <w:rPr>
          <w:rFonts w:ascii="Times New Roman" w:hAnsi="Times New Roman" w:cs="Times New Roman"/>
          <w:sz w:val="24"/>
          <w:szCs w:val="24"/>
        </w:rPr>
        <w:t xml:space="preserve">sul piano </w:t>
      </w:r>
      <w:r w:rsidR="00C84567" w:rsidRPr="00C4795A">
        <w:rPr>
          <w:rFonts w:ascii="Times New Roman" w:hAnsi="Times New Roman" w:cs="Times New Roman"/>
          <w:sz w:val="24"/>
          <w:szCs w:val="24"/>
        </w:rPr>
        <w:t>interpretativ</w:t>
      </w:r>
      <w:r w:rsidR="00F30611" w:rsidRPr="00C4795A">
        <w:rPr>
          <w:rFonts w:ascii="Times New Roman" w:hAnsi="Times New Roman" w:cs="Times New Roman"/>
          <w:sz w:val="24"/>
          <w:szCs w:val="24"/>
        </w:rPr>
        <w:t>o</w:t>
      </w:r>
      <w:r w:rsidRPr="00C4795A">
        <w:rPr>
          <w:rFonts w:ascii="Times New Roman" w:hAnsi="Times New Roman" w:cs="Times New Roman"/>
          <w:sz w:val="24"/>
          <w:szCs w:val="24"/>
        </w:rPr>
        <w:t xml:space="preserve">, e ciò gli imporrebbe di rivolgersi alla Corte lussemburghese. Per evitare, sollevando la questione, di vedersi imputare dalle parti la mancata proposizione di un rinvio, il giudice apicale potrebbe dunque dare corso alla disapplicazione diretta (o, previamente, al rinvio pregiudiziale), </w:t>
      </w:r>
      <w:r w:rsidR="00D708A9" w:rsidRPr="00C4795A">
        <w:rPr>
          <w:rFonts w:ascii="Times New Roman" w:hAnsi="Times New Roman" w:cs="Times New Roman"/>
          <w:sz w:val="24"/>
          <w:szCs w:val="24"/>
        </w:rPr>
        <w:t>a costo</w:t>
      </w:r>
      <w:r w:rsidRPr="00C4795A">
        <w:rPr>
          <w:rFonts w:ascii="Times New Roman" w:hAnsi="Times New Roman" w:cs="Times New Roman"/>
          <w:sz w:val="24"/>
          <w:szCs w:val="24"/>
        </w:rPr>
        <w:t xml:space="preserve"> </w:t>
      </w:r>
      <w:r w:rsidR="00D708A9" w:rsidRPr="00C4795A">
        <w:rPr>
          <w:rFonts w:ascii="Times New Roman" w:hAnsi="Times New Roman" w:cs="Times New Roman"/>
          <w:sz w:val="24"/>
          <w:szCs w:val="24"/>
        </w:rPr>
        <w:t xml:space="preserve">di </w:t>
      </w:r>
      <w:r w:rsidRPr="00C4795A">
        <w:rPr>
          <w:rFonts w:ascii="Times New Roman" w:hAnsi="Times New Roman" w:cs="Times New Roman"/>
          <w:sz w:val="24"/>
          <w:szCs w:val="24"/>
        </w:rPr>
        <w:t>sacrificare l’interesse alla certezza del diritto di cui il sindacato accentrato è strumento.</w:t>
      </w:r>
    </w:p>
    <w:p w14:paraId="75E24073" w14:textId="504B5E06" w:rsidR="00FD2486" w:rsidRPr="00C4795A" w:rsidRDefault="005F6296" w:rsidP="006D646F">
      <w:pPr>
        <w:spacing w:after="0" w:line="240" w:lineRule="auto"/>
        <w:jc w:val="both"/>
        <w:rPr>
          <w:rFonts w:ascii="Times New Roman" w:hAnsi="Times New Roman" w:cs="Times New Roman"/>
          <w:sz w:val="24"/>
          <w:szCs w:val="24"/>
        </w:rPr>
      </w:pPr>
      <w:r w:rsidRPr="00C4795A">
        <w:rPr>
          <w:rFonts w:ascii="Times New Roman" w:hAnsi="Times New Roman" w:cs="Times New Roman"/>
          <w:sz w:val="24"/>
          <w:szCs w:val="24"/>
        </w:rPr>
        <w:lastRenderedPageBreak/>
        <w:t>Nel s</w:t>
      </w:r>
      <w:r w:rsidR="00CB3A70" w:rsidRPr="00C4795A">
        <w:rPr>
          <w:rFonts w:ascii="Times New Roman" w:hAnsi="Times New Roman" w:cs="Times New Roman"/>
          <w:sz w:val="24"/>
          <w:szCs w:val="24"/>
        </w:rPr>
        <w:t>econdo scenario</w:t>
      </w:r>
      <w:r w:rsidRPr="00C4795A">
        <w:rPr>
          <w:rFonts w:ascii="Times New Roman" w:hAnsi="Times New Roman" w:cs="Times New Roman"/>
          <w:sz w:val="24"/>
          <w:szCs w:val="24"/>
        </w:rPr>
        <w:t>,</w:t>
      </w:r>
      <w:r w:rsidR="00CB3A70" w:rsidRPr="00C4795A">
        <w:rPr>
          <w:rFonts w:ascii="Times New Roman" w:hAnsi="Times New Roman" w:cs="Times New Roman"/>
          <w:sz w:val="24"/>
          <w:szCs w:val="24"/>
        </w:rPr>
        <w:t xml:space="preserve"> i giudici sollevano con riferimento ai soli parametri interni, separandoli da quelli unionali anche quando l’intreccio e la sovrapposizione siano innegabili.</w:t>
      </w:r>
      <w:r w:rsidR="0056100E" w:rsidRPr="00C4795A">
        <w:rPr>
          <w:rFonts w:ascii="Times New Roman" w:hAnsi="Times New Roman" w:cs="Times New Roman"/>
          <w:sz w:val="24"/>
          <w:szCs w:val="24"/>
        </w:rPr>
        <w:t xml:space="preserve"> Accantonano il tema del contrasto con il diritto UE e vestono di</w:t>
      </w:r>
      <w:r w:rsidR="00AE3946" w:rsidRPr="00C4795A">
        <w:rPr>
          <w:rFonts w:ascii="Times New Roman" w:hAnsi="Times New Roman" w:cs="Times New Roman"/>
          <w:sz w:val="24"/>
          <w:szCs w:val="24"/>
        </w:rPr>
        <w:t xml:space="preserve"> panni esclusivamente interni una questione doppiamente pregiudiziale</w:t>
      </w:r>
      <w:r w:rsidR="0056100E" w:rsidRPr="00C4795A">
        <w:rPr>
          <w:rFonts w:ascii="Times New Roman" w:hAnsi="Times New Roman" w:cs="Times New Roman"/>
          <w:sz w:val="24"/>
          <w:szCs w:val="24"/>
        </w:rPr>
        <w:t xml:space="preserve">. </w:t>
      </w:r>
      <w:r w:rsidR="000E39B0" w:rsidRPr="00C4795A">
        <w:rPr>
          <w:rFonts w:ascii="Times New Roman" w:hAnsi="Times New Roman" w:cs="Times New Roman"/>
          <w:sz w:val="24"/>
          <w:szCs w:val="24"/>
        </w:rPr>
        <w:t xml:space="preserve">La soluzione dello sdoppiamento dei parametri permette di risolvere alcuni problemi, in quanto la </w:t>
      </w:r>
      <w:r w:rsidR="000E39B0" w:rsidRPr="00C4795A">
        <w:rPr>
          <w:rFonts w:ascii="Times New Roman" w:hAnsi="Times New Roman" w:cs="Times New Roman"/>
          <w:i/>
          <w:iCs/>
          <w:sz w:val="24"/>
          <w:szCs w:val="24"/>
        </w:rPr>
        <w:t xml:space="preserve">quaestio </w:t>
      </w:r>
      <w:r w:rsidR="000E39B0" w:rsidRPr="00C4795A">
        <w:rPr>
          <w:rFonts w:ascii="Times New Roman" w:hAnsi="Times New Roman" w:cs="Times New Roman"/>
          <w:sz w:val="24"/>
          <w:szCs w:val="24"/>
        </w:rPr>
        <w:t>assume le più canoniche vesti dell’incidente di costituzionalità ‘domestico’.</w:t>
      </w:r>
      <w:r w:rsidR="006D646F" w:rsidRPr="00C4795A">
        <w:rPr>
          <w:rFonts w:ascii="Times New Roman" w:hAnsi="Times New Roman" w:cs="Times New Roman"/>
          <w:sz w:val="24"/>
          <w:szCs w:val="24"/>
        </w:rPr>
        <w:t xml:space="preserve"> </w:t>
      </w:r>
      <w:r w:rsidR="005252A0" w:rsidRPr="00C4795A">
        <w:rPr>
          <w:rFonts w:ascii="Times New Roman" w:hAnsi="Times New Roman" w:cs="Times New Roman"/>
          <w:sz w:val="24"/>
          <w:szCs w:val="24"/>
        </w:rPr>
        <w:t>Q</w:t>
      </w:r>
      <w:r w:rsidR="00FD2486" w:rsidRPr="00C4795A">
        <w:rPr>
          <w:rFonts w:ascii="Times New Roman" w:hAnsi="Times New Roman" w:cs="Times New Roman"/>
          <w:sz w:val="24"/>
          <w:szCs w:val="24"/>
        </w:rPr>
        <w:t>uesto scenario espone</w:t>
      </w:r>
      <w:r w:rsidR="005F49DC" w:rsidRPr="00C4795A">
        <w:rPr>
          <w:rFonts w:ascii="Times New Roman" w:hAnsi="Times New Roman" w:cs="Times New Roman"/>
          <w:sz w:val="24"/>
          <w:szCs w:val="24"/>
        </w:rPr>
        <w:t xml:space="preserve">, tuttavia, </w:t>
      </w:r>
      <w:r w:rsidR="00FD2486" w:rsidRPr="00C4795A">
        <w:rPr>
          <w:rFonts w:ascii="Times New Roman" w:hAnsi="Times New Roman" w:cs="Times New Roman"/>
          <w:sz w:val="24"/>
          <w:szCs w:val="24"/>
        </w:rPr>
        <w:t>al rischio che u</w:t>
      </w:r>
      <w:r w:rsidR="00CB3A70" w:rsidRPr="00C4795A">
        <w:rPr>
          <w:rFonts w:ascii="Times New Roman" w:hAnsi="Times New Roman" w:cs="Times New Roman"/>
          <w:sz w:val="24"/>
          <w:szCs w:val="24"/>
        </w:rPr>
        <w:t xml:space="preserve">na volta </w:t>
      </w:r>
      <w:r w:rsidR="00FD2486" w:rsidRPr="00C4795A">
        <w:rPr>
          <w:rFonts w:ascii="Times New Roman" w:hAnsi="Times New Roman" w:cs="Times New Roman"/>
          <w:sz w:val="24"/>
          <w:szCs w:val="24"/>
        </w:rPr>
        <w:t xml:space="preserve">rigettata </w:t>
      </w:r>
      <w:r w:rsidR="00CB3A70" w:rsidRPr="00C4795A">
        <w:rPr>
          <w:rFonts w:ascii="Times New Roman" w:hAnsi="Times New Roman" w:cs="Times New Roman"/>
          <w:sz w:val="24"/>
          <w:szCs w:val="24"/>
        </w:rPr>
        <w:t xml:space="preserve">la </w:t>
      </w:r>
      <w:r w:rsidR="00CB3A70" w:rsidRPr="00C4795A">
        <w:rPr>
          <w:rFonts w:ascii="Times New Roman" w:hAnsi="Times New Roman" w:cs="Times New Roman"/>
          <w:i/>
          <w:iCs/>
          <w:sz w:val="24"/>
          <w:szCs w:val="24"/>
        </w:rPr>
        <w:t>qu</w:t>
      </w:r>
      <w:r w:rsidR="00FD2486" w:rsidRPr="00C4795A">
        <w:rPr>
          <w:rFonts w:ascii="Times New Roman" w:hAnsi="Times New Roman" w:cs="Times New Roman"/>
          <w:i/>
          <w:iCs/>
          <w:sz w:val="24"/>
          <w:szCs w:val="24"/>
        </w:rPr>
        <w:t>a</w:t>
      </w:r>
      <w:r w:rsidR="00CB3A70" w:rsidRPr="00C4795A">
        <w:rPr>
          <w:rFonts w:ascii="Times New Roman" w:hAnsi="Times New Roman" w:cs="Times New Roman"/>
          <w:i/>
          <w:iCs/>
          <w:sz w:val="24"/>
          <w:szCs w:val="24"/>
        </w:rPr>
        <w:t>estio</w:t>
      </w:r>
      <w:r w:rsidR="00FD2486" w:rsidRPr="00C4795A">
        <w:rPr>
          <w:rFonts w:ascii="Times New Roman" w:hAnsi="Times New Roman" w:cs="Times New Roman"/>
          <w:i/>
          <w:iCs/>
          <w:sz w:val="24"/>
          <w:szCs w:val="24"/>
        </w:rPr>
        <w:t xml:space="preserve"> </w:t>
      </w:r>
      <w:proofErr w:type="spellStart"/>
      <w:r w:rsidR="00FD2486" w:rsidRPr="00C4795A">
        <w:rPr>
          <w:rFonts w:ascii="Times New Roman" w:hAnsi="Times New Roman" w:cs="Times New Roman"/>
          <w:i/>
          <w:iCs/>
          <w:sz w:val="24"/>
          <w:szCs w:val="24"/>
        </w:rPr>
        <w:t>legitimitatis</w:t>
      </w:r>
      <w:proofErr w:type="spellEnd"/>
      <w:r w:rsidR="00FD2486" w:rsidRPr="00C4795A">
        <w:rPr>
          <w:rFonts w:ascii="Times New Roman" w:hAnsi="Times New Roman" w:cs="Times New Roman"/>
          <w:sz w:val="24"/>
          <w:szCs w:val="24"/>
        </w:rPr>
        <w:t xml:space="preserve"> </w:t>
      </w:r>
      <w:r w:rsidR="00CB3A70" w:rsidRPr="00C4795A">
        <w:rPr>
          <w:rFonts w:ascii="Times New Roman" w:hAnsi="Times New Roman" w:cs="Times New Roman"/>
          <w:sz w:val="24"/>
          <w:szCs w:val="24"/>
        </w:rPr>
        <w:t xml:space="preserve">sulla base dei </w:t>
      </w:r>
      <w:r w:rsidR="00097E3C" w:rsidRPr="00C4795A">
        <w:rPr>
          <w:rFonts w:ascii="Times New Roman" w:hAnsi="Times New Roman" w:cs="Times New Roman"/>
          <w:sz w:val="24"/>
          <w:szCs w:val="24"/>
        </w:rPr>
        <w:t xml:space="preserve">soli </w:t>
      </w:r>
      <w:r w:rsidR="00CB3A70" w:rsidRPr="00C4795A">
        <w:rPr>
          <w:rFonts w:ascii="Times New Roman" w:hAnsi="Times New Roman" w:cs="Times New Roman"/>
          <w:sz w:val="24"/>
          <w:szCs w:val="24"/>
        </w:rPr>
        <w:t xml:space="preserve">parametri interni, il giudice comune </w:t>
      </w:r>
      <w:r w:rsidR="00FD2486" w:rsidRPr="00C4795A">
        <w:rPr>
          <w:rFonts w:ascii="Times New Roman" w:hAnsi="Times New Roman" w:cs="Times New Roman"/>
          <w:sz w:val="24"/>
          <w:szCs w:val="24"/>
        </w:rPr>
        <w:t xml:space="preserve">possa </w:t>
      </w:r>
      <w:r w:rsidR="00097E3C" w:rsidRPr="00C4795A">
        <w:rPr>
          <w:rFonts w:ascii="Times New Roman" w:hAnsi="Times New Roman" w:cs="Times New Roman"/>
          <w:sz w:val="24"/>
          <w:szCs w:val="24"/>
        </w:rPr>
        <w:t xml:space="preserve">ritenere </w:t>
      </w:r>
      <w:r w:rsidR="00CB3A70" w:rsidRPr="00C4795A">
        <w:rPr>
          <w:rFonts w:ascii="Times New Roman" w:hAnsi="Times New Roman" w:cs="Times New Roman"/>
          <w:sz w:val="24"/>
          <w:szCs w:val="24"/>
        </w:rPr>
        <w:t xml:space="preserve">che sussiste anche un dubbio di compatibilità con la </w:t>
      </w:r>
      <w:r w:rsidR="00FD2486" w:rsidRPr="00C4795A">
        <w:rPr>
          <w:rFonts w:ascii="Times New Roman" w:hAnsi="Times New Roman" w:cs="Times New Roman"/>
          <w:sz w:val="24"/>
          <w:szCs w:val="24"/>
        </w:rPr>
        <w:t>disciplina unionale</w:t>
      </w:r>
      <w:r w:rsidR="00097E3C" w:rsidRPr="00C4795A">
        <w:rPr>
          <w:rFonts w:ascii="Times New Roman" w:hAnsi="Times New Roman" w:cs="Times New Roman"/>
          <w:sz w:val="24"/>
          <w:szCs w:val="24"/>
        </w:rPr>
        <w:t xml:space="preserve">, e formulare </w:t>
      </w:r>
      <w:r w:rsidR="00FD2486" w:rsidRPr="00C4795A">
        <w:rPr>
          <w:rFonts w:ascii="Times New Roman" w:hAnsi="Times New Roman" w:cs="Times New Roman"/>
          <w:sz w:val="24"/>
          <w:szCs w:val="24"/>
        </w:rPr>
        <w:t xml:space="preserve">su queste basi </w:t>
      </w:r>
      <w:r w:rsidR="00097E3C" w:rsidRPr="00C4795A">
        <w:rPr>
          <w:rFonts w:ascii="Times New Roman" w:hAnsi="Times New Roman" w:cs="Times New Roman"/>
          <w:sz w:val="24"/>
          <w:szCs w:val="24"/>
        </w:rPr>
        <w:t xml:space="preserve">un rinvio </w:t>
      </w:r>
      <w:r w:rsidR="00CB3A70" w:rsidRPr="00C4795A">
        <w:rPr>
          <w:rFonts w:ascii="Times New Roman" w:hAnsi="Times New Roman" w:cs="Times New Roman"/>
          <w:sz w:val="24"/>
          <w:szCs w:val="24"/>
        </w:rPr>
        <w:t>pregiudiziale dagli effetti potenzialmente</w:t>
      </w:r>
      <w:r w:rsidR="004E68DE" w:rsidRPr="00C4795A">
        <w:rPr>
          <w:rFonts w:ascii="Times New Roman" w:hAnsi="Times New Roman" w:cs="Times New Roman"/>
          <w:sz w:val="24"/>
          <w:szCs w:val="24"/>
        </w:rPr>
        <w:t xml:space="preserve"> delegittimanti per la Corte</w:t>
      </w:r>
      <w:r w:rsidR="00CB3A70" w:rsidRPr="00C4795A">
        <w:rPr>
          <w:rFonts w:ascii="Times New Roman" w:hAnsi="Times New Roman" w:cs="Times New Roman"/>
          <w:sz w:val="24"/>
          <w:szCs w:val="24"/>
        </w:rPr>
        <w:t>.</w:t>
      </w:r>
      <w:r w:rsidR="00097E3C" w:rsidRPr="00C4795A">
        <w:rPr>
          <w:rFonts w:ascii="Times New Roman" w:hAnsi="Times New Roman" w:cs="Times New Roman"/>
          <w:sz w:val="24"/>
          <w:szCs w:val="24"/>
        </w:rPr>
        <w:t xml:space="preserve"> </w:t>
      </w:r>
    </w:p>
    <w:p w14:paraId="62C5AC61" w14:textId="37BE8102" w:rsidR="00773E35" w:rsidRPr="00C4795A" w:rsidRDefault="005F6296" w:rsidP="00E13695">
      <w:pPr>
        <w:spacing w:after="0"/>
        <w:jc w:val="both"/>
        <w:rPr>
          <w:rFonts w:ascii="Times New Roman" w:hAnsi="Times New Roman" w:cs="Times New Roman"/>
          <w:sz w:val="24"/>
          <w:szCs w:val="24"/>
        </w:rPr>
      </w:pPr>
      <w:r w:rsidRPr="00C4795A">
        <w:rPr>
          <w:rFonts w:ascii="Times New Roman" w:hAnsi="Times New Roman" w:cs="Times New Roman"/>
          <w:sz w:val="24"/>
          <w:szCs w:val="24"/>
        </w:rPr>
        <w:t xml:space="preserve">Nel terzo </w:t>
      </w:r>
      <w:r w:rsidR="001022C6" w:rsidRPr="00C4795A">
        <w:rPr>
          <w:rFonts w:ascii="Times New Roman" w:hAnsi="Times New Roman" w:cs="Times New Roman"/>
          <w:sz w:val="24"/>
          <w:szCs w:val="24"/>
        </w:rPr>
        <w:t>scenario</w:t>
      </w:r>
      <w:r w:rsidR="00B25D13" w:rsidRPr="00C4795A">
        <w:rPr>
          <w:rFonts w:ascii="Times New Roman" w:hAnsi="Times New Roman" w:cs="Times New Roman"/>
          <w:sz w:val="24"/>
          <w:szCs w:val="24"/>
        </w:rPr>
        <w:t xml:space="preserve">, il </w:t>
      </w:r>
      <w:r w:rsidR="001022C6" w:rsidRPr="00C4795A">
        <w:rPr>
          <w:rFonts w:ascii="Times New Roman" w:hAnsi="Times New Roman" w:cs="Times New Roman"/>
          <w:sz w:val="24"/>
          <w:szCs w:val="24"/>
        </w:rPr>
        <w:t xml:space="preserve">giudice comune </w:t>
      </w:r>
      <w:r w:rsidR="004B408C" w:rsidRPr="00C4795A">
        <w:rPr>
          <w:rFonts w:ascii="Times New Roman" w:hAnsi="Times New Roman" w:cs="Times New Roman"/>
          <w:sz w:val="24"/>
          <w:szCs w:val="24"/>
        </w:rPr>
        <w:t xml:space="preserve">segue le indicazioni della regola 181 e dunque </w:t>
      </w:r>
      <w:r w:rsidR="001022C6" w:rsidRPr="00C4795A">
        <w:rPr>
          <w:rFonts w:ascii="Times New Roman" w:hAnsi="Times New Roman" w:cs="Times New Roman"/>
          <w:sz w:val="24"/>
          <w:szCs w:val="24"/>
        </w:rPr>
        <w:t xml:space="preserve">illustra l’intersezione </w:t>
      </w:r>
      <w:r w:rsidR="00773E35" w:rsidRPr="00C4795A">
        <w:rPr>
          <w:rFonts w:ascii="Times New Roman" w:hAnsi="Times New Roman" w:cs="Times New Roman"/>
          <w:sz w:val="24"/>
          <w:szCs w:val="24"/>
        </w:rPr>
        <w:t>fra ordinamenti</w:t>
      </w:r>
      <w:r w:rsidR="002B4218" w:rsidRPr="00C4795A">
        <w:rPr>
          <w:rFonts w:ascii="Times New Roman" w:hAnsi="Times New Roman" w:cs="Times New Roman"/>
          <w:sz w:val="24"/>
          <w:szCs w:val="24"/>
        </w:rPr>
        <w:t>,</w:t>
      </w:r>
      <w:r w:rsidR="00773E35" w:rsidRPr="00C4795A">
        <w:rPr>
          <w:rFonts w:ascii="Times New Roman" w:hAnsi="Times New Roman" w:cs="Times New Roman"/>
          <w:sz w:val="24"/>
          <w:szCs w:val="24"/>
        </w:rPr>
        <w:t xml:space="preserve"> </w:t>
      </w:r>
      <w:r w:rsidR="002B4218" w:rsidRPr="00C4795A">
        <w:rPr>
          <w:rFonts w:ascii="Times New Roman" w:hAnsi="Times New Roman" w:cs="Times New Roman"/>
          <w:sz w:val="24"/>
          <w:szCs w:val="24"/>
        </w:rPr>
        <w:t xml:space="preserve">argomentando in ordine al </w:t>
      </w:r>
      <w:r w:rsidR="000E39B0" w:rsidRPr="00C4795A">
        <w:rPr>
          <w:rFonts w:ascii="Times New Roman" w:hAnsi="Times New Roman" w:cs="Times New Roman"/>
          <w:sz w:val="24"/>
          <w:szCs w:val="24"/>
        </w:rPr>
        <w:t>‘</w:t>
      </w:r>
      <w:r w:rsidR="00773E35" w:rsidRPr="00C4795A">
        <w:rPr>
          <w:rFonts w:ascii="Times New Roman" w:hAnsi="Times New Roman" w:cs="Times New Roman"/>
          <w:sz w:val="24"/>
          <w:szCs w:val="24"/>
        </w:rPr>
        <w:t>tono costituzionale</w:t>
      </w:r>
      <w:r w:rsidR="000E39B0" w:rsidRPr="00C4795A">
        <w:rPr>
          <w:rFonts w:ascii="Times New Roman" w:hAnsi="Times New Roman" w:cs="Times New Roman"/>
          <w:sz w:val="24"/>
          <w:szCs w:val="24"/>
        </w:rPr>
        <w:t>’</w:t>
      </w:r>
      <w:r w:rsidR="00773E35" w:rsidRPr="00C4795A">
        <w:rPr>
          <w:rFonts w:ascii="Times New Roman" w:hAnsi="Times New Roman" w:cs="Times New Roman"/>
          <w:sz w:val="24"/>
          <w:szCs w:val="24"/>
        </w:rPr>
        <w:t xml:space="preserve"> della questione </w:t>
      </w:r>
      <w:r w:rsidR="001022C6" w:rsidRPr="00C4795A">
        <w:rPr>
          <w:rFonts w:ascii="Times New Roman" w:hAnsi="Times New Roman" w:cs="Times New Roman"/>
          <w:sz w:val="24"/>
          <w:szCs w:val="24"/>
        </w:rPr>
        <w:t xml:space="preserve">e </w:t>
      </w:r>
      <w:r w:rsidR="00773E35" w:rsidRPr="00C4795A">
        <w:rPr>
          <w:rFonts w:ascii="Times New Roman" w:hAnsi="Times New Roman" w:cs="Times New Roman"/>
          <w:sz w:val="24"/>
          <w:szCs w:val="24"/>
        </w:rPr>
        <w:t>al</w:t>
      </w:r>
      <w:r w:rsidR="001022C6" w:rsidRPr="00C4795A">
        <w:rPr>
          <w:rFonts w:ascii="Times New Roman" w:hAnsi="Times New Roman" w:cs="Times New Roman"/>
          <w:sz w:val="24"/>
          <w:szCs w:val="24"/>
        </w:rPr>
        <w:t>la maggiore appropriatezza</w:t>
      </w:r>
      <w:r w:rsidR="00773E35" w:rsidRPr="00C4795A">
        <w:rPr>
          <w:rFonts w:ascii="Times New Roman" w:hAnsi="Times New Roman" w:cs="Times New Roman"/>
          <w:sz w:val="24"/>
          <w:szCs w:val="24"/>
        </w:rPr>
        <w:t>, nella specie,</w:t>
      </w:r>
      <w:r w:rsidR="001022C6" w:rsidRPr="00C4795A">
        <w:rPr>
          <w:rFonts w:ascii="Times New Roman" w:hAnsi="Times New Roman" w:cs="Times New Roman"/>
          <w:sz w:val="24"/>
          <w:szCs w:val="24"/>
        </w:rPr>
        <w:t xml:space="preserve"> della </w:t>
      </w:r>
      <w:r w:rsidR="00773E35" w:rsidRPr="00C4795A">
        <w:rPr>
          <w:rFonts w:ascii="Times New Roman" w:hAnsi="Times New Roman" w:cs="Times New Roman"/>
          <w:sz w:val="24"/>
          <w:szCs w:val="24"/>
        </w:rPr>
        <w:t xml:space="preserve">decisione della Corte </w:t>
      </w:r>
      <w:r w:rsidR="001022C6" w:rsidRPr="00C4795A">
        <w:rPr>
          <w:rFonts w:ascii="Times New Roman" w:hAnsi="Times New Roman" w:cs="Times New Roman"/>
          <w:sz w:val="24"/>
          <w:szCs w:val="24"/>
        </w:rPr>
        <w:t>rispetto all</w:t>
      </w:r>
      <w:r w:rsidR="002B4218" w:rsidRPr="00C4795A">
        <w:rPr>
          <w:rFonts w:ascii="Times New Roman" w:hAnsi="Times New Roman" w:cs="Times New Roman"/>
          <w:sz w:val="24"/>
          <w:szCs w:val="24"/>
        </w:rPr>
        <w:t>’</w:t>
      </w:r>
      <w:r w:rsidR="004F5ABF" w:rsidRPr="00C4795A">
        <w:rPr>
          <w:rFonts w:ascii="Times New Roman" w:hAnsi="Times New Roman" w:cs="Times New Roman"/>
          <w:sz w:val="24"/>
          <w:szCs w:val="24"/>
        </w:rPr>
        <w:t xml:space="preserve">immediata </w:t>
      </w:r>
      <w:r w:rsidR="005F49DC" w:rsidRPr="00C4795A">
        <w:rPr>
          <w:rFonts w:ascii="Times New Roman" w:hAnsi="Times New Roman" w:cs="Times New Roman"/>
          <w:sz w:val="24"/>
          <w:szCs w:val="24"/>
        </w:rPr>
        <w:t>dis</w:t>
      </w:r>
      <w:r w:rsidR="001022C6" w:rsidRPr="00C4795A">
        <w:rPr>
          <w:rFonts w:ascii="Times New Roman" w:hAnsi="Times New Roman" w:cs="Times New Roman"/>
          <w:sz w:val="24"/>
          <w:szCs w:val="24"/>
        </w:rPr>
        <w:t>applicazione</w:t>
      </w:r>
      <w:r w:rsidR="00773E35" w:rsidRPr="00C4795A">
        <w:rPr>
          <w:rFonts w:ascii="Times New Roman" w:hAnsi="Times New Roman" w:cs="Times New Roman"/>
          <w:sz w:val="24"/>
          <w:szCs w:val="24"/>
        </w:rPr>
        <w:t xml:space="preserve"> del diritto nazionale</w:t>
      </w:r>
      <w:r w:rsidR="003F5CDB" w:rsidRPr="00C4795A">
        <w:rPr>
          <w:rFonts w:ascii="Times New Roman" w:hAnsi="Times New Roman" w:cs="Times New Roman"/>
          <w:sz w:val="24"/>
          <w:szCs w:val="24"/>
        </w:rPr>
        <w:t xml:space="preserve">. </w:t>
      </w:r>
    </w:p>
    <w:p w14:paraId="275D5CC3" w14:textId="29B27970" w:rsidR="00823A8F" w:rsidRPr="00C4795A" w:rsidRDefault="00773E35" w:rsidP="00F31464">
      <w:pPr>
        <w:spacing w:after="0"/>
        <w:jc w:val="both"/>
        <w:rPr>
          <w:rFonts w:ascii="Times New Roman" w:hAnsi="Times New Roman" w:cs="Times New Roman"/>
          <w:sz w:val="24"/>
          <w:szCs w:val="24"/>
        </w:rPr>
      </w:pPr>
      <w:r w:rsidRPr="00C4795A">
        <w:rPr>
          <w:rFonts w:ascii="Times New Roman" w:hAnsi="Times New Roman" w:cs="Times New Roman"/>
          <w:sz w:val="24"/>
          <w:szCs w:val="24"/>
        </w:rPr>
        <w:t xml:space="preserve">Rispetto a questo scenario si </w:t>
      </w:r>
      <w:r w:rsidR="003F5CDB" w:rsidRPr="00C4795A">
        <w:rPr>
          <w:rFonts w:ascii="Times New Roman" w:hAnsi="Times New Roman" w:cs="Times New Roman"/>
          <w:sz w:val="24"/>
          <w:szCs w:val="24"/>
        </w:rPr>
        <w:t>è osservato in senso critico che una simile strutturazione del sindacato accentrato fa venire meno i tratti distintivi del diritto UE rispetto al diritto CEDU; e si è fatto rilevare come in alcune recenti pronunce il parametro dell’art. 11 sia rimasto sottotraccia o sia stato del tutto oscurato</w:t>
      </w:r>
      <w:r w:rsidRPr="00C4795A">
        <w:rPr>
          <w:rStyle w:val="Rimandonotaapidipagina"/>
          <w:rFonts w:ascii="Times New Roman" w:hAnsi="Times New Roman" w:cs="Times New Roman"/>
          <w:sz w:val="24"/>
          <w:szCs w:val="24"/>
        </w:rPr>
        <w:footnoteReference w:id="45"/>
      </w:r>
      <w:r w:rsidR="003F5CDB" w:rsidRPr="00C4795A">
        <w:rPr>
          <w:rFonts w:ascii="Times New Roman" w:hAnsi="Times New Roman" w:cs="Times New Roman"/>
          <w:sz w:val="24"/>
          <w:szCs w:val="24"/>
        </w:rPr>
        <w:t>.</w:t>
      </w:r>
      <w:r w:rsidR="004F5ABF" w:rsidRPr="00C4795A">
        <w:rPr>
          <w:rFonts w:ascii="Times New Roman" w:hAnsi="Times New Roman" w:cs="Times New Roman"/>
          <w:sz w:val="24"/>
          <w:szCs w:val="24"/>
        </w:rPr>
        <w:t xml:space="preserve"> </w:t>
      </w:r>
      <w:r w:rsidRPr="00C4795A">
        <w:rPr>
          <w:rFonts w:ascii="Times New Roman" w:hAnsi="Times New Roman" w:cs="Times New Roman"/>
          <w:sz w:val="24"/>
          <w:szCs w:val="24"/>
        </w:rPr>
        <w:t>Ulteriori censure sono state indirizza</w:t>
      </w:r>
      <w:r w:rsidR="00823A8F" w:rsidRPr="00C4795A">
        <w:rPr>
          <w:rFonts w:ascii="Times New Roman" w:hAnsi="Times New Roman" w:cs="Times New Roman"/>
          <w:sz w:val="24"/>
          <w:szCs w:val="24"/>
        </w:rPr>
        <w:t>t</w:t>
      </w:r>
      <w:r w:rsidRPr="00C4795A">
        <w:rPr>
          <w:rFonts w:ascii="Times New Roman" w:hAnsi="Times New Roman" w:cs="Times New Roman"/>
          <w:sz w:val="24"/>
          <w:szCs w:val="24"/>
        </w:rPr>
        <w:t xml:space="preserve">e nei confronti del requisito del </w:t>
      </w:r>
      <w:r w:rsidR="000E39B0" w:rsidRPr="00C4795A">
        <w:rPr>
          <w:rFonts w:ascii="Times New Roman" w:hAnsi="Times New Roman" w:cs="Times New Roman"/>
          <w:sz w:val="24"/>
          <w:szCs w:val="24"/>
        </w:rPr>
        <w:t>‘</w:t>
      </w:r>
      <w:r w:rsidR="00BC3D63" w:rsidRPr="00C4795A">
        <w:rPr>
          <w:rFonts w:ascii="Times New Roman" w:hAnsi="Times New Roman" w:cs="Times New Roman"/>
          <w:sz w:val="24"/>
          <w:szCs w:val="24"/>
        </w:rPr>
        <w:t>tono costituzionale</w:t>
      </w:r>
      <w:r w:rsidR="000E39B0" w:rsidRPr="00C4795A">
        <w:rPr>
          <w:rFonts w:ascii="Times New Roman" w:hAnsi="Times New Roman" w:cs="Times New Roman"/>
          <w:sz w:val="24"/>
          <w:szCs w:val="24"/>
        </w:rPr>
        <w:t>’</w:t>
      </w:r>
      <w:r w:rsidRPr="00C4795A">
        <w:rPr>
          <w:rFonts w:ascii="Times New Roman" w:hAnsi="Times New Roman" w:cs="Times New Roman"/>
          <w:sz w:val="24"/>
          <w:szCs w:val="24"/>
        </w:rPr>
        <w:t xml:space="preserve">, che secondo </w:t>
      </w:r>
      <w:r w:rsidR="004B408C" w:rsidRPr="00C4795A">
        <w:rPr>
          <w:rFonts w:ascii="Times New Roman" w:hAnsi="Times New Roman" w:cs="Times New Roman"/>
          <w:sz w:val="24"/>
          <w:szCs w:val="24"/>
        </w:rPr>
        <w:t xml:space="preserve">nutrita dottrina si </w:t>
      </w:r>
      <w:r w:rsidRPr="00C4795A">
        <w:rPr>
          <w:rFonts w:ascii="Times New Roman" w:hAnsi="Times New Roman" w:cs="Times New Roman"/>
          <w:sz w:val="24"/>
          <w:szCs w:val="24"/>
        </w:rPr>
        <w:t xml:space="preserve">è finora </w:t>
      </w:r>
      <w:r w:rsidR="004B408C" w:rsidRPr="00C4795A">
        <w:rPr>
          <w:rFonts w:ascii="Times New Roman" w:hAnsi="Times New Roman" w:cs="Times New Roman"/>
          <w:sz w:val="24"/>
          <w:szCs w:val="24"/>
        </w:rPr>
        <w:t>strutturato come un filtro troppo debole</w:t>
      </w:r>
      <w:r w:rsidRPr="00C4795A">
        <w:rPr>
          <w:rFonts w:ascii="Times New Roman" w:hAnsi="Times New Roman" w:cs="Times New Roman"/>
          <w:sz w:val="24"/>
          <w:szCs w:val="24"/>
        </w:rPr>
        <w:t xml:space="preserve">, e quasi un </w:t>
      </w:r>
      <w:proofErr w:type="spellStart"/>
      <w:r w:rsidRPr="00C4795A">
        <w:rPr>
          <w:rFonts w:ascii="Times New Roman" w:hAnsi="Times New Roman" w:cs="Times New Roman"/>
          <w:i/>
          <w:iCs/>
          <w:sz w:val="24"/>
          <w:szCs w:val="24"/>
        </w:rPr>
        <w:t>passepartout</w:t>
      </w:r>
      <w:proofErr w:type="spellEnd"/>
      <w:r w:rsidR="00823A8F" w:rsidRPr="00C4795A">
        <w:rPr>
          <w:rFonts w:ascii="Times New Roman" w:hAnsi="Times New Roman" w:cs="Times New Roman"/>
          <w:sz w:val="24"/>
          <w:szCs w:val="24"/>
        </w:rPr>
        <w:t xml:space="preserve">, tanto che </w:t>
      </w:r>
      <w:r w:rsidR="00AB25C7" w:rsidRPr="00C4795A">
        <w:rPr>
          <w:rFonts w:ascii="Times New Roman" w:hAnsi="Times New Roman" w:cs="Times New Roman"/>
          <w:sz w:val="24"/>
          <w:szCs w:val="24"/>
        </w:rPr>
        <w:t>sarebbe necessario riferirlo solo a violazioni sistemiche</w:t>
      </w:r>
      <w:r w:rsidR="00F31464" w:rsidRPr="00C4795A">
        <w:rPr>
          <w:rFonts w:ascii="Times New Roman" w:hAnsi="Times New Roman" w:cs="Times New Roman"/>
          <w:sz w:val="24"/>
          <w:szCs w:val="24"/>
        </w:rPr>
        <w:t xml:space="preserve">, suscettibili di dare causa a procedure di infrazione e </w:t>
      </w:r>
      <w:r w:rsidR="00AB6B9C" w:rsidRPr="00C4795A">
        <w:rPr>
          <w:rFonts w:ascii="Times New Roman" w:hAnsi="Times New Roman" w:cs="Times New Roman"/>
          <w:sz w:val="24"/>
          <w:szCs w:val="24"/>
        </w:rPr>
        <w:t xml:space="preserve">comunque </w:t>
      </w:r>
      <w:r w:rsidR="00F31464" w:rsidRPr="00C4795A">
        <w:rPr>
          <w:rFonts w:ascii="Times New Roman" w:hAnsi="Times New Roman" w:cs="Times New Roman"/>
          <w:sz w:val="24"/>
          <w:szCs w:val="24"/>
        </w:rPr>
        <w:t>a ipotesi di contrasto con le norme della Carta di Nizza e non con il diritto unionale derivato</w:t>
      </w:r>
      <w:r w:rsidR="00F31464" w:rsidRPr="00C4795A">
        <w:rPr>
          <w:rStyle w:val="Rimandonotaapidipagina"/>
          <w:rFonts w:ascii="Times New Roman" w:hAnsi="Times New Roman" w:cs="Times New Roman"/>
          <w:sz w:val="24"/>
          <w:szCs w:val="24"/>
        </w:rPr>
        <w:footnoteReference w:id="46"/>
      </w:r>
      <w:r w:rsidR="00E13695" w:rsidRPr="00C4795A">
        <w:rPr>
          <w:rFonts w:ascii="Times New Roman" w:hAnsi="Times New Roman" w:cs="Times New Roman"/>
          <w:sz w:val="24"/>
          <w:szCs w:val="24"/>
        </w:rPr>
        <w:t>.</w:t>
      </w:r>
      <w:r w:rsidR="00AB25C7" w:rsidRPr="00C4795A">
        <w:rPr>
          <w:rFonts w:ascii="Times New Roman" w:hAnsi="Times New Roman" w:cs="Times New Roman"/>
          <w:sz w:val="24"/>
          <w:szCs w:val="24"/>
        </w:rPr>
        <w:t xml:space="preserve"> </w:t>
      </w:r>
    </w:p>
    <w:bookmarkEnd w:id="1"/>
    <w:p w14:paraId="76970F9B" w14:textId="0127388A" w:rsidR="00823A8F" w:rsidRPr="00C4795A" w:rsidRDefault="00BC3D63" w:rsidP="001E4C53">
      <w:pPr>
        <w:jc w:val="both"/>
        <w:rPr>
          <w:rFonts w:ascii="Times New Roman" w:hAnsi="Times New Roman" w:cs="Times New Roman"/>
          <w:sz w:val="24"/>
          <w:szCs w:val="24"/>
        </w:rPr>
      </w:pPr>
      <w:r w:rsidRPr="00C4795A">
        <w:rPr>
          <w:rFonts w:ascii="Times New Roman" w:hAnsi="Times New Roman" w:cs="Times New Roman"/>
          <w:sz w:val="24"/>
          <w:szCs w:val="24"/>
        </w:rPr>
        <w:t>Le prime esperienze applicative del nuovo protocollo dimostrano</w:t>
      </w:r>
      <w:r w:rsidR="00C57353" w:rsidRPr="00C4795A">
        <w:rPr>
          <w:rFonts w:ascii="Times New Roman" w:hAnsi="Times New Roman" w:cs="Times New Roman"/>
          <w:sz w:val="24"/>
          <w:szCs w:val="24"/>
        </w:rPr>
        <w:t>,</w:t>
      </w:r>
      <w:r w:rsidRPr="00C4795A">
        <w:rPr>
          <w:rFonts w:ascii="Times New Roman" w:hAnsi="Times New Roman" w:cs="Times New Roman"/>
          <w:sz w:val="24"/>
          <w:szCs w:val="24"/>
        </w:rPr>
        <w:t xml:space="preserve"> </w:t>
      </w:r>
      <w:r w:rsidR="006C51FF" w:rsidRPr="00C4795A">
        <w:rPr>
          <w:rFonts w:ascii="Times New Roman" w:hAnsi="Times New Roman" w:cs="Times New Roman"/>
          <w:sz w:val="24"/>
          <w:szCs w:val="24"/>
        </w:rPr>
        <w:t>in effetti</w:t>
      </w:r>
      <w:r w:rsidR="00C57353" w:rsidRPr="00C4795A">
        <w:rPr>
          <w:rFonts w:ascii="Times New Roman" w:hAnsi="Times New Roman" w:cs="Times New Roman"/>
          <w:sz w:val="24"/>
          <w:szCs w:val="24"/>
        </w:rPr>
        <w:t>,</w:t>
      </w:r>
      <w:r w:rsidR="006C51FF" w:rsidRPr="00C4795A">
        <w:rPr>
          <w:rFonts w:ascii="Times New Roman" w:hAnsi="Times New Roman" w:cs="Times New Roman"/>
          <w:sz w:val="24"/>
          <w:szCs w:val="24"/>
        </w:rPr>
        <w:t xml:space="preserve"> che la verifica </w:t>
      </w:r>
      <w:r w:rsidR="00823A8F" w:rsidRPr="00C4795A">
        <w:rPr>
          <w:rFonts w:ascii="Times New Roman" w:hAnsi="Times New Roman" w:cs="Times New Roman"/>
          <w:sz w:val="24"/>
          <w:szCs w:val="24"/>
        </w:rPr>
        <w:t>del ‘tono costituzionale’</w:t>
      </w:r>
      <w:r w:rsidR="006C51FF" w:rsidRPr="00C4795A">
        <w:rPr>
          <w:rFonts w:ascii="Times New Roman" w:hAnsi="Times New Roman" w:cs="Times New Roman"/>
          <w:sz w:val="24"/>
          <w:szCs w:val="24"/>
        </w:rPr>
        <w:t xml:space="preserve"> </w:t>
      </w:r>
      <w:r w:rsidR="00773E35" w:rsidRPr="00C4795A">
        <w:rPr>
          <w:rFonts w:ascii="Times New Roman" w:hAnsi="Times New Roman" w:cs="Times New Roman"/>
          <w:sz w:val="24"/>
          <w:szCs w:val="24"/>
        </w:rPr>
        <w:t xml:space="preserve">si è sempre conclusa positivamente, con la </w:t>
      </w:r>
      <w:r w:rsidRPr="00C4795A">
        <w:rPr>
          <w:rFonts w:ascii="Times New Roman" w:hAnsi="Times New Roman" w:cs="Times New Roman"/>
          <w:sz w:val="24"/>
          <w:szCs w:val="24"/>
        </w:rPr>
        <w:t>constatazione della «innegabile» sussistenza</w:t>
      </w:r>
      <w:r w:rsidR="00823A8F" w:rsidRPr="00C4795A">
        <w:rPr>
          <w:rFonts w:ascii="Times New Roman" w:hAnsi="Times New Roman" w:cs="Times New Roman"/>
          <w:sz w:val="24"/>
          <w:szCs w:val="24"/>
        </w:rPr>
        <w:t xml:space="preserve"> dello stesso</w:t>
      </w:r>
      <w:r w:rsidR="00773E35" w:rsidRPr="00C4795A">
        <w:rPr>
          <w:rStyle w:val="Rimandonotaapidipagina"/>
          <w:rFonts w:ascii="Times New Roman" w:hAnsi="Times New Roman" w:cs="Times New Roman"/>
          <w:sz w:val="24"/>
          <w:szCs w:val="24"/>
        </w:rPr>
        <w:footnoteReference w:id="47"/>
      </w:r>
      <w:r w:rsidRPr="00C4795A">
        <w:rPr>
          <w:rFonts w:ascii="Times New Roman" w:hAnsi="Times New Roman" w:cs="Times New Roman"/>
          <w:sz w:val="24"/>
          <w:szCs w:val="24"/>
        </w:rPr>
        <w:t xml:space="preserve">. Ciò è accaduto non solo in </w:t>
      </w:r>
      <w:r w:rsidR="00C57353" w:rsidRPr="00C4795A">
        <w:rPr>
          <w:rFonts w:ascii="Times New Roman" w:hAnsi="Times New Roman" w:cs="Times New Roman"/>
          <w:sz w:val="24"/>
          <w:szCs w:val="24"/>
        </w:rPr>
        <w:t>cas</w:t>
      </w:r>
      <w:r w:rsidRPr="00C4795A">
        <w:rPr>
          <w:rFonts w:ascii="Times New Roman" w:hAnsi="Times New Roman" w:cs="Times New Roman"/>
          <w:sz w:val="24"/>
          <w:szCs w:val="24"/>
        </w:rPr>
        <w:t xml:space="preserve">i in cui </w:t>
      </w:r>
      <w:r w:rsidR="00823A8F" w:rsidRPr="00C4795A">
        <w:rPr>
          <w:rFonts w:ascii="Times New Roman" w:hAnsi="Times New Roman" w:cs="Times New Roman"/>
          <w:sz w:val="24"/>
          <w:szCs w:val="24"/>
        </w:rPr>
        <w:t xml:space="preserve">l’incrocio contenutistico fra Costituzione e Carta di Nizza </w:t>
      </w:r>
      <w:r w:rsidRPr="00C4795A">
        <w:rPr>
          <w:rFonts w:ascii="Times New Roman" w:hAnsi="Times New Roman" w:cs="Times New Roman"/>
          <w:sz w:val="24"/>
          <w:szCs w:val="24"/>
        </w:rPr>
        <w:t>si palesava con estrema nitidezza</w:t>
      </w:r>
      <w:r w:rsidR="00172FB9" w:rsidRPr="00C4795A">
        <w:rPr>
          <w:rFonts w:ascii="Times New Roman" w:hAnsi="Times New Roman" w:cs="Times New Roman"/>
          <w:sz w:val="24"/>
          <w:szCs w:val="24"/>
        </w:rPr>
        <w:t xml:space="preserve"> a livello di principi</w:t>
      </w:r>
      <w:r w:rsidR="00773E35" w:rsidRPr="00C4795A">
        <w:rPr>
          <w:rStyle w:val="Rimandonotaapidipagina"/>
          <w:rFonts w:ascii="Times New Roman" w:hAnsi="Times New Roman" w:cs="Times New Roman"/>
          <w:sz w:val="24"/>
          <w:szCs w:val="24"/>
        </w:rPr>
        <w:footnoteReference w:id="48"/>
      </w:r>
      <w:r w:rsidRPr="00C4795A">
        <w:rPr>
          <w:rFonts w:ascii="Times New Roman" w:hAnsi="Times New Roman" w:cs="Times New Roman"/>
          <w:sz w:val="24"/>
          <w:szCs w:val="24"/>
        </w:rPr>
        <w:t xml:space="preserve">, ma anche in giudizi in cui la normativa unionale di diritto derivato presentava un taglio </w:t>
      </w:r>
      <w:r w:rsidR="00773E35" w:rsidRPr="00C4795A">
        <w:rPr>
          <w:rFonts w:ascii="Times New Roman" w:hAnsi="Times New Roman" w:cs="Times New Roman"/>
          <w:sz w:val="24"/>
          <w:szCs w:val="24"/>
        </w:rPr>
        <w:t>squisita</w:t>
      </w:r>
      <w:r w:rsidRPr="00C4795A">
        <w:rPr>
          <w:rFonts w:ascii="Times New Roman" w:hAnsi="Times New Roman" w:cs="Times New Roman"/>
          <w:sz w:val="24"/>
          <w:szCs w:val="24"/>
        </w:rPr>
        <w:t>mente tecnico (</w:t>
      </w:r>
      <w:r w:rsidR="007A02D8" w:rsidRPr="00C4795A">
        <w:rPr>
          <w:rFonts w:ascii="Times New Roman" w:hAnsi="Times New Roman" w:cs="Times New Roman"/>
          <w:sz w:val="24"/>
          <w:szCs w:val="24"/>
        </w:rPr>
        <w:t xml:space="preserve">il </w:t>
      </w:r>
      <w:r w:rsidRPr="00C4795A">
        <w:rPr>
          <w:rFonts w:ascii="Times New Roman" w:hAnsi="Times New Roman" w:cs="Times New Roman"/>
          <w:sz w:val="24"/>
          <w:szCs w:val="24"/>
        </w:rPr>
        <w:t>contributo di solidarietà per gli extraprofitti nell’</w:t>
      </w:r>
      <w:proofErr w:type="spellStart"/>
      <w:r w:rsidRPr="00C4795A">
        <w:rPr>
          <w:rFonts w:ascii="Times New Roman" w:hAnsi="Times New Roman" w:cs="Times New Roman"/>
          <w:sz w:val="24"/>
          <w:szCs w:val="24"/>
        </w:rPr>
        <w:t>ord</w:t>
      </w:r>
      <w:proofErr w:type="spellEnd"/>
      <w:r w:rsidRPr="00C4795A">
        <w:rPr>
          <w:rFonts w:ascii="Times New Roman" w:hAnsi="Times New Roman" w:cs="Times New Roman"/>
          <w:sz w:val="24"/>
          <w:szCs w:val="24"/>
        </w:rPr>
        <w:t xml:space="preserve">. n. 21 del 2025 e </w:t>
      </w:r>
      <w:r w:rsidR="005E3A0F" w:rsidRPr="00C4795A">
        <w:rPr>
          <w:rFonts w:ascii="Times New Roman" w:hAnsi="Times New Roman" w:cs="Times New Roman"/>
          <w:sz w:val="24"/>
          <w:szCs w:val="24"/>
        </w:rPr>
        <w:t>l’</w:t>
      </w:r>
      <w:r w:rsidRPr="00C4795A">
        <w:rPr>
          <w:rFonts w:ascii="Times New Roman" w:hAnsi="Times New Roman" w:cs="Times New Roman"/>
          <w:sz w:val="24"/>
          <w:szCs w:val="24"/>
        </w:rPr>
        <w:t xml:space="preserve">addizionale provinciale all’accisa sull’energia elettrica in </w:t>
      </w:r>
      <w:proofErr w:type="spellStart"/>
      <w:r w:rsidRPr="00C4795A">
        <w:rPr>
          <w:rFonts w:ascii="Times New Roman" w:hAnsi="Times New Roman" w:cs="Times New Roman"/>
          <w:sz w:val="24"/>
          <w:szCs w:val="24"/>
        </w:rPr>
        <w:t>sent</w:t>
      </w:r>
      <w:proofErr w:type="spellEnd"/>
      <w:r w:rsidRPr="00C4795A">
        <w:rPr>
          <w:rFonts w:ascii="Times New Roman" w:hAnsi="Times New Roman" w:cs="Times New Roman"/>
          <w:sz w:val="24"/>
          <w:szCs w:val="24"/>
        </w:rPr>
        <w:t xml:space="preserve">. n. 43 del 2025). In </w:t>
      </w:r>
      <w:r w:rsidR="00823A8F" w:rsidRPr="00C4795A">
        <w:rPr>
          <w:rFonts w:ascii="Times New Roman" w:hAnsi="Times New Roman" w:cs="Times New Roman"/>
          <w:sz w:val="24"/>
          <w:szCs w:val="24"/>
        </w:rPr>
        <w:t xml:space="preserve">questi casi la Corte </w:t>
      </w:r>
      <w:r w:rsidRPr="00C4795A">
        <w:rPr>
          <w:rFonts w:ascii="Times New Roman" w:hAnsi="Times New Roman" w:cs="Times New Roman"/>
          <w:sz w:val="24"/>
          <w:szCs w:val="24"/>
        </w:rPr>
        <w:t xml:space="preserve">non </w:t>
      </w:r>
      <w:r w:rsidR="00823A8F" w:rsidRPr="00C4795A">
        <w:rPr>
          <w:rFonts w:ascii="Times New Roman" w:hAnsi="Times New Roman" w:cs="Times New Roman"/>
          <w:sz w:val="24"/>
          <w:szCs w:val="24"/>
        </w:rPr>
        <w:t xml:space="preserve">ha mai eluso il </w:t>
      </w:r>
      <w:r w:rsidRPr="00C4795A">
        <w:rPr>
          <w:rFonts w:ascii="Times New Roman" w:hAnsi="Times New Roman" w:cs="Times New Roman"/>
          <w:sz w:val="24"/>
          <w:szCs w:val="24"/>
        </w:rPr>
        <w:t>confronto con la disciplina unionale</w:t>
      </w:r>
      <w:r w:rsidR="00823A8F" w:rsidRPr="00C4795A">
        <w:rPr>
          <w:rFonts w:ascii="Times New Roman" w:hAnsi="Times New Roman" w:cs="Times New Roman"/>
          <w:sz w:val="24"/>
          <w:szCs w:val="24"/>
        </w:rPr>
        <w:t xml:space="preserve"> e si è </w:t>
      </w:r>
      <w:r w:rsidRPr="00C4795A">
        <w:rPr>
          <w:rFonts w:ascii="Times New Roman" w:hAnsi="Times New Roman" w:cs="Times New Roman"/>
          <w:sz w:val="24"/>
          <w:szCs w:val="24"/>
        </w:rPr>
        <w:t>mostra</w:t>
      </w:r>
      <w:r w:rsidR="00823A8F" w:rsidRPr="00C4795A">
        <w:rPr>
          <w:rFonts w:ascii="Times New Roman" w:hAnsi="Times New Roman" w:cs="Times New Roman"/>
          <w:sz w:val="24"/>
          <w:szCs w:val="24"/>
        </w:rPr>
        <w:t>ta</w:t>
      </w:r>
      <w:r w:rsidRPr="00C4795A">
        <w:rPr>
          <w:rFonts w:ascii="Times New Roman" w:hAnsi="Times New Roman" w:cs="Times New Roman"/>
          <w:sz w:val="24"/>
          <w:szCs w:val="24"/>
        </w:rPr>
        <w:t xml:space="preserve"> particolarmente incline al dialogo diretto con la CGUE</w:t>
      </w:r>
      <w:r w:rsidR="00F31464" w:rsidRPr="00C4795A">
        <w:rPr>
          <w:rStyle w:val="Rimandonotaapidipagina"/>
          <w:rFonts w:ascii="Times New Roman" w:hAnsi="Times New Roman" w:cs="Times New Roman"/>
          <w:sz w:val="24"/>
          <w:szCs w:val="24"/>
        </w:rPr>
        <w:footnoteReference w:id="49"/>
      </w:r>
      <w:r w:rsidRPr="00C4795A">
        <w:rPr>
          <w:rFonts w:ascii="Times New Roman" w:hAnsi="Times New Roman" w:cs="Times New Roman"/>
          <w:sz w:val="24"/>
          <w:szCs w:val="24"/>
        </w:rPr>
        <w:t xml:space="preserve">. </w:t>
      </w:r>
    </w:p>
    <w:p w14:paraId="55142E09" w14:textId="77777777" w:rsidR="00B577FD" w:rsidRPr="00C4795A" w:rsidRDefault="00BC3D63" w:rsidP="00E13695">
      <w:pPr>
        <w:spacing w:after="0"/>
        <w:jc w:val="both"/>
        <w:rPr>
          <w:rFonts w:ascii="Times New Roman" w:hAnsi="Times New Roman" w:cs="Times New Roman"/>
          <w:sz w:val="24"/>
          <w:szCs w:val="24"/>
        </w:rPr>
      </w:pPr>
      <w:r w:rsidRPr="00C4795A">
        <w:rPr>
          <w:rFonts w:ascii="Times New Roman" w:hAnsi="Times New Roman" w:cs="Times New Roman"/>
          <w:sz w:val="24"/>
          <w:szCs w:val="24"/>
        </w:rPr>
        <w:t>La via dell’incidente di costituzionalità è</w:t>
      </w:r>
      <w:r w:rsidR="00D63697" w:rsidRPr="00C4795A">
        <w:rPr>
          <w:rFonts w:ascii="Times New Roman" w:hAnsi="Times New Roman" w:cs="Times New Roman"/>
          <w:sz w:val="24"/>
          <w:szCs w:val="24"/>
        </w:rPr>
        <w:t>,</w:t>
      </w:r>
      <w:r w:rsidRPr="00C4795A">
        <w:rPr>
          <w:rFonts w:ascii="Times New Roman" w:hAnsi="Times New Roman" w:cs="Times New Roman"/>
          <w:sz w:val="24"/>
          <w:szCs w:val="24"/>
        </w:rPr>
        <w:t xml:space="preserve"> </w:t>
      </w:r>
      <w:r w:rsidR="006C51FF" w:rsidRPr="00C4795A">
        <w:rPr>
          <w:rFonts w:ascii="Times New Roman" w:hAnsi="Times New Roman" w:cs="Times New Roman"/>
          <w:sz w:val="24"/>
          <w:szCs w:val="24"/>
        </w:rPr>
        <w:t>dunque</w:t>
      </w:r>
      <w:r w:rsidR="00D63697" w:rsidRPr="00C4795A">
        <w:rPr>
          <w:rFonts w:ascii="Times New Roman" w:hAnsi="Times New Roman" w:cs="Times New Roman"/>
          <w:sz w:val="24"/>
          <w:szCs w:val="24"/>
        </w:rPr>
        <w:t>,</w:t>
      </w:r>
      <w:r w:rsidR="006C51FF" w:rsidRPr="00C4795A">
        <w:rPr>
          <w:rFonts w:ascii="Times New Roman" w:hAnsi="Times New Roman" w:cs="Times New Roman"/>
          <w:sz w:val="24"/>
          <w:szCs w:val="24"/>
        </w:rPr>
        <w:t xml:space="preserve"> </w:t>
      </w:r>
      <w:r w:rsidRPr="00C4795A">
        <w:rPr>
          <w:rFonts w:ascii="Times New Roman" w:hAnsi="Times New Roman" w:cs="Times New Roman"/>
          <w:sz w:val="24"/>
          <w:szCs w:val="24"/>
        </w:rPr>
        <w:t>spianata</w:t>
      </w:r>
      <w:r w:rsidR="00E13695" w:rsidRPr="00C4795A">
        <w:rPr>
          <w:rFonts w:ascii="Times New Roman" w:hAnsi="Times New Roman" w:cs="Times New Roman"/>
          <w:sz w:val="24"/>
          <w:szCs w:val="24"/>
        </w:rPr>
        <w:t xml:space="preserve"> e non paiono </w:t>
      </w:r>
      <w:r w:rsidR="00F31464" w:rsidRPr="00C4795A">
        <w:rPr>
          <w:rFonts w:ascii="Times New Roman" w:hAnsi="Times New Roman" w:cs="Times New Roman"/>
          <w:sz w:val="24"/>
          <w:szCs w:val="24"/>
        </w:rPr>
        <w:t xml:space="preserve">realisticamente </w:t>
      </w:r>
      <w:r w:rsidR="00E13695" w:rsidRPr="00C4795A">
        <w:rPr>
          <w:rFonts w:ascii="Times New Roman" w:hAnsi="Times New Roman" w:cs="Times New Roman"/>
          <w:sz w:val="24"/>
          <w:szCs w:val="24"/>
        </w:rPr>
        <w:t>percorribili tentativi di perimetrazione del requisito del ‘tono costituzionale’</w:t>
      </w:r>
      <w:r w:rsidR="00F31464" w:rsidRPr="00C4795A">
        <w:rPr>
          <w:rFonts w:ascii="Times New Roman" w:hAnsi="Times New Roman" w:cs="Times New Roman"/>
          <w:sz w:val="24"/>
          <w:szCs w:val="24"/>
        </w:rPr>
        <w:t>, se non tornando al punto di partenza, cioè alla sentenza n. 269</w:t>
      </w:r>
      <w:r w:rsidR="005E3A0F" w:rsidRPr="00C4795A">
        <w:rPr>
          <w:rFonts w:ascii="Times New Roman" w:hAnsi="Times New Roman" w:cs="Times New Roman"/>
          <w:sz w:val="24"/>
          <w:szCs w:val="24"/>
        </w:rPr>
        <w:t xml:space="preserve"> del 2017</w:t>
      </w:r>
      <w:r w:rsidR="00F31464" w:rsidRPr="00C4795A">
        <w:rPr>
          <w:rFonts w:ascii="Times New Roman" w:hAnsi="Times New Roman" w:cs="Times New Roman"/>
          <w:sz w:val="24"/>
          <w:szCs w:val="24"/>
        </w:rPr>
        <w:t xml:space="preserve">, che tuttavia la Corte costituzionale ha dichiaratamente inteso </w:t>
      </w:r>
      <w:r w:rsidR="0066423C" w:rsidRPr="00C4795A">
        <w:rPr>
          <w:rFonts w:ascii="Times New Roman" w:hAnsi="Times New Roman" w:cs="Times New Roman"/>
          <w:sz w:val="24"/>
          <w:szCs w:val="24"/>
        </w:rPr>
        <w:t>integrare</w:t>
      </w:r>
      <w:r w:rsidR="001B2533" w:rsidRPr="00C4795A">
        <w:rPr>
          <w:rFonts w:ascii="Times New Roman" w:hAnsi="Times New Roman" w:cs="Times New Roman"/>
          <w:sz w:val="24"/>
          <w:szCs w:val="24"/>
        </w:rPr>
        <w:t>.</w:t>
      </w:r>
      <w:r w:rsidR="00E13695" w:rsidRPr="00C4795A">
        <w:rPr>
          <w:rFonts w:ascii="Times New Roman" w:hAnsi="Times New Roman" w:cs="Times New Roman"/>
          <w:sz w:val="24"/>
          <w:szCs w:val="24"/>
        </w:rPr>
        <w:t xml:space="preserve"> </w:t>
      </w:r>
      <w:r w:rsidR="004F5ABF" w:rsidRPr="00C4795A">
        <w:rPr>
          <w:rFonts w:ascii="Times New Roman" w:hAnsi="Times New Roman" w:cs="Times New Roman"/>
          <w:sz w:val="24"/>
          <w:szCs w:val="24"/>
        </w:rPr>
        <w:t>Se</w:t>
      </w:r>
      <w:r w:rsidR="00E13695" w:rsidRPr="00C4795A">
        <w:rPr>
          <w:rFonts w:ascii="Times New Roman" w:hAnsi="Times New Roman" w:cs="Times New Roman"/>
          <w:sz w:val="24"/>
          <w:szCs w:val="24"/>
        </w:rPr>
        <w:t>, quindi,</w:t>
      </w:r>
      <w:r w:rsidR="004F5ABF" w:rsidRPr="00C4795A">
        <w:rPr>
          <w:rFonts w:ascii="Times New Roman" w:hAnsi="Times New Roman" w:cs="Times New Roman"/>
          <w:sz w:val="24"/>
          <w:szCs w:val="24"/>
        </w:rPr>
        <w:t xml:space="preserve"> </w:t>
      </w:r>
      <w:r w:rsidR="00E13695" w:rsidRPr="00C4795A">
        <w:rPr>
          <w:rFonts w:ascii="Times New Roman" w:hAnsi="Times New Roman" w:cs="Times New Roman"/>
          <w:sz w:val="24"/>
          <w:szCs w:val="24"/>
        </w:rPr>
        <w:t>la</w:t>
      </w:r>
      <w:r w:rsidR="004F5ABF" w:rsidRPr="00C4795A">
        <w:rPr>
          <w:rFonts w:ascii="Times New Roman" w:hAnsi="Times New Roman" w:cs="Times New Roman"/>
          <w:sz w:val="24"/>
          <w:szCs w:val="24"/>
        </w:rPr>
        <w:t xml:space="preserve"> strada </w:t>
      </w:r>
      <w:r w:rsidR="00E13695" w:rsidRPr="00C4795A">
        <w:rPr>
          <w:rFonts w:ascii="Times New Roman" w:hAnsi="Times New Roman" w:cs="Times New Roman"/>
          <w:sz w:val="24"/>
          <w:szCs w:val="24"/>
        </w:rPr>
        <w:t xml:space="preserve">della questione di legittimità </w:t>
      </w:r>
      <w:r w:rsidR="004F5ABF" w:rsidRPr="00C4795A">
        <w:rPr>
          <w:rFonts w:ascii="Times New Roman" w:hAnsi="Times New Roman" w:cs="Times New Roman"/>
          <w:sz w:val="24"/>
          <w:szCs w:val="24"/>
        </w:rPr>
        <w:t xml:space="preserve">si strutturerà, </w:t>
      </w:r>
      <w:r w:rsidR="004B408C" w:rsidRPr="00C4795A">
        <w:rPr>
          <w:rFonts w:ascii="Times New Roman" w:hAnsi="Times New Roman" w:cs="Times New Roman"/>
          <w:sz w:val="24"/>
          <w:szCs w:val="24"/>
        </w:rPr>
        <w:t xml:space="preserve">è verosimile che </w:t>
      </w:r>
      <w:r w:rsidR="004F5ABF" w:rsidRPr="00C4795A">
        <w:rPr>
          <w:rFonts w:ascii="Times New Roman" w:hAnsi="Times New Roman" w:cs="Times New Roman"/>
          <w:sz w:val="24"/>
          <w:szCs w:val="24"/>
        </w:rPr>
        <w:t xml:space="preserve">la </w:t>
      </w:r>
      <w:r w:rsidR="001022C6" w:rsidRPr="00C4795A">
        <w:rPr>
          <w:rFonts w:ascii="Times New Roman" w:hAnsi="Times New Roman" w:cs="Times New Roman"/>
          <w:sz w:val="24"/>
          <w:szCs w:val="24"/>
        </w:rPr>
        <w:t>Co</w:t>
      </w:r>
      <w:r w:rsidR="00F31464" w:rsidRPr="00C4795A">
        <w:rPr>
          <w:rFonts w:ascii="Times New Roman" w:hAnsi="Times New Roman" w:cs="Times New Roman"/>
          <w:sz w:val="24"/>
          <w:szCs w:val="24"/>
        </w:rPr>
        <w:t xml:space="preserve">nsulta farà maggiore </w:t>
      </w:r>
      <w:r w:rsidR="003F5CDB" w:rsidRPr="00C4795A">
        <w:rPr>
          <w:rFonts w:ascii="Times New Roman" w:hAnsi="Times New Roman" w:cs="Times New Roman"/>
          <w:sz w:val="24"/>
          <w:szCs w:val="24"/>
        </w:rPr>
        <w:t>ricorso al rinvio pregiudiziale</w:t>
      </w:r>
      <w:r w:rsidR="006B0D92" w:rsidRPr="00C4795A">
        <w:rPr>
          <w:rFonts w:ascii="Times New Roman" w:hAnsi="Times New Roman" w:cs="Times New Roman"/>
          <w:sz w:val="24"/>
          <w:szCs w:val="24"/>
        </w:rPr>
        <w:t xml:space="preserve"> per un duplice ordine di ragioni</w:t>
      </w:r>
      <w:r w:rsidR="003F5CDB" w:rsidRPr="00C4795A">
        <w:rPr>
          <w:rFonts w:ascii="Times New Roman" w:hAnsi="Times New Roman" w:cs="Times New Roman"/>
          <w:sz w:val="24"/>
          <w:szCs w:val="24"/>
        </w:rPr>
        <w:t xml:space="preserve">. </w:t>
      </w:r>
      <w:r w:rsidR="006B0D92" w:rsidRPr="00C4795A">
        <w:rPr>
          <w:rFonts w:ascii="Times New Roman" w:hAnsi="Times New Roman" w:cs="Times New Roman"/>
          <w:sz w:val="24"/>
          <w:szCs w:val="24"/>
        </w:rPr>
        <w:t>In primo luogo</w:t>
      </w:r>
      <w:r w:rsidR="00F31464" w:rsidRPr="00C4795A">
        <w:rPr>
          <w:rFonts w:ascii="Times New Roman" w:hAnsi="Times New Roman" w:cs="Times New Roman"/>
          <w:sz w:val="24"/>
          <w:szCs w:val="24"/>
        </w:rPr>
        <w:t>,</w:t>
      </w:r>
      <w:r w:rsidR="006B0D92" w:rsidRPr="00C4795A">
        <w:rPr>
          <w:rFonts w:ascii="Times New Roman" w:hAnsi="Times New Roman" w:cs="Times New Roman"/>
          <w:sz w:val="24"/>
          <w:szCs w:val="24"/>
        </w:rPr>
        <w:t xml:space="preserve"> perché l’intreccio tra la questione interna e quella </w:t>
      </w:r>
      <w:r w:rsidR="00D63697" w:rsidRPr="00C4795A">
        <w:rPr>
          <w:rFonts w:ascii="Times New Roman" w:hAnsi="Times New Roman" w:cs="Times New Roman"/>
          <w:sz w:val="24"/>
          <w:szCs w:val="24"/>
        </w:rPr>
        <w:t xml:space="preserve">comunitaria </w:t>
      </w:r>
      <w:r w:rsidR="006B0D92" w:rsidRPr="00C4795A">
        <w:rPr>
          <w:rFonts w:ascii="Times New Roman" w:hAnsi="Times New Roman" w:cs="Times New Roman"/>
          <w:sz w:val="24"/>
          <w:szCs w:val="24"/>
        </w:rPr>
        <w:t xml:space="preserve">potrebbe richiedere che sia </w:t>
      </w:r>
      <w:r w:rsidR="006B0D92" w:rsidRPr="00C4795A">
        <w:rPr>
          <w:rFonts w:ascii="Times New Roman" w:hAnsi="Times New Roman" w:cs="Times New Roman"/>
          <w:sz w:val="24"/>
          <w:szCs w:val="24"/>
        </w:rPr>
        <w:lastRenderedPageBreak/>
        <w:t>precisato il significato della norma interposta; in secondo luogo</w:t>
      </w:r>
      <w:r w:rsidR="00F31464" w:rsidRPr="00C4795A">
        <w:rPr>
          <w:rFonts w:ascii="Times New Roman" w:hAnsi="Times New Roman" w:cs="Times New Roman"/>
          <w:sz w:val="24"/>
          <w:szCs w:val="24"/>
        </w:rPr>
        <w:t>,</w:t>
      </w:r>
      <w:r w:rsidR="006B0D92" w:rsidRPr="00C4795A">
        <w:rPr>
          <w:rFonts w:ascii="Times New Roman" w:hAnsi="Times New Roman" w:cs="Times New Roman"/>
          <w:sz w:val="24"/>
          <w:szCs w:val="24"/>
        </w:rPr>
        <w:t xml:space="preserve"> perché la Corte, interpellando direttamente i giudici di Lussemburgo, potrà </w:t>
      </w:r>
      <w:r w:rsidR="004B408C" w:rsidRPr="00C4795A">
        <w:rPr>
          <w:rFonts w:ascii="Times New Roman" w:hAnsi="Times New Roman" w:cs="Times New Roman"/>
          <w:sz w:val="24"/>
          <w:szCs w:val="24"/>
        </w:rPr>
        <w:t>‘prevenire’ il pericolo che all’esito di una sentenza di rigetto</w:t>
      </w:r>
      <w:r w:rsidR="00B577FD" w:rsidRPr="00C4795A">
        <w:rPr>
          <w:rFonts w:ascii="Times New Roman" w:hAnsi="Times New Roman" w:cs="Times New Roman"/>
          <w:sz w:val="24"/>
          <w:szCs w:val="24"/>
        </w:rPr>
        <w:t>,</w:t>
      </w:r>
      <w:r w:rsidR="004B408C" w:rsidRPr="00C4795A">
        <w:rPr>
          <w:rFonts w:ascii="Times New Roman" w:hAnsi="Times New Roman" w:cs="Times New Roman"/>
          <w:sz w:val="24"/>
          <w:szCs w:val="24"/>
        </w:rPr>
        <w:t xml:space="preserve"> il giudice comune – reputandosi non soddisfatto – possa intraprendere la strada del rinvio pregiudiziale, esponendola al rischio di un</w:t>
      </w:r>
      <w:r w:rsidR="006B0D92" w:rsidRPr="00C4795A">
        <w:rPr>
          <w:rFonts w:ascii="Times New Roman" w:hAnsi="Times New Roman" w:cs="Times New Roman"/>
          <w:sz w:val="24"/>
          <w:szCs w:val="24"/>
        </w:rPr>
        <w:t xml:space="preserve"> conflitto di giudicati con la Corte di giustizia. </w:t>
      </w:r>
    </w:p>
    <w:p w14:paraId="12F150A5" w14:textId="0B621386" w:rsidR="00FE5759" w:rsidRPr="00C4795A" w:rsidRDefault="006B0D92" w:rsidP="00EC7C13">
      <w:pPr>
        <w:spacing w:after="0"/>
        <w:jc w:val="both"/>
        <w:rPr>
          <w:rFonts w:ascii="Times New Roman" w:hAnsi="Times New Roman" w:cs="Times New Roman"/>
          <w:sz w:val="24"/>
          <w:szCs w:val="24"/>
        </w:rPr>
      </w:pPr>
      <w:r w:rsidRPr="00C4795A">
        <w:rPr>
          <w:rFonts w:ascii="Times New Roman" w:hAnsi="Times New Roman" w:cs="Times New Roman"/>
          <w:sz w:val="24"/>
          <w:szCs w:val="24"/>
        </w:rPr>
        <w:t xml:space="preserve">Non dovrebbe destare preoccupazione il fatto che </w:t>
      </w:r>
      <w:r w:rsidR="00B577FD" w:rsidRPr="00C4795A">
        <w:rPr>
          <w:rFonts w:ascii="Times New Roman" w:hAnsi="Times New Roman" w:cs="Times New Roman"/>
          <w:sz w:val="24"/>
          <w:szCs w:val="24"/>
        </w:rPr>
        <w:t>il consolidamento</w:t>
      </w:r>
      <w:r w:rsidRPr="00C4795A">
        <w:rPr>
          <w:rFonts w:ascii="Times New Roman" w:hAnsi="Times New Roman" w:cs="Times New Roman"/>
          <w:sz w:val="24"/>
          <w:szCs w:val="24"/>
        </w:rPr>
        <w:t xml:space="preserve"> del </w:t>
      </w:r>
      <w:r w:rsidR="00F367F2" w:rsidRPr="00C4795A">
        <w:rPr>
          <w:rFonts w:ascii="Times New Roman" w:hAnsi="Times New Roman" w:cs="Times New Roman"/>
          <w:sz w:val="24"/>
          <w:szCs w:val="24"/>
        </w:rPr>
        <w:t>cosiddetto ‘</w:t>
      </w:r>
      <w:r w:rsidRPr="00C4795A">
        <w:rPr>
          <w:rFonts w:ascii="Times New Roman" w:hAnsi="Times New Roman" w:cs="Times New Roman"/>
          <w:sz w:val="24"/>
          <w:szCs w:val="24"/>
        </w:rPr>
        <w:t>protocollo 181</w:t>
      </w:r>
      <w:r w:rsidR="00F367F2" w:rsidRPr="00C4795A">
        <w:rPr>
          <w:rFonts w:ascii="Times New Roman" w:hAnsi="Times New Roman" w:cs="Times New Roman"/>
          <w:sz w:val="24"/>
          <w:szCs w:val="24"/>
        </w:rPr>
        <w:t>’</w:t>
      </w:r>
      <w:r w:rsidRPr="00C4795A">
        <w:rPr>
          <w:rFonts w:ascii="Times New Roman" w:hAnsi="Times New Roman" w:cs="Times New Roman"/>
          <w:sz w:val="24"/>
          <w:szCs w:val="24"/>
        </w:rPr>
        <w:t xml:space="preserve"> possa</w:t>
      </w:r>
      <w:r w:rsidR="00F31464" w:rsidRPr="00C4795A">
        <w:rPr>
          <w:rFonts w:ascii="Times New Roman" w:hAnsi="Times New Roman" w:cs="Times New Roman"/>
          <w:sz w:val="24"/>
          <w:szCs w:val="24"/>
        </w:rPr>
        <w:t>,</w:t>
      </w:r>
      <w:r w:rsidRPr="00C4795A">
        <w:rPr>
          <w:rFonts w:ascii="Times New Roman" w:hAnsi="Times New Roman" w:cs="Times New Roman"/>
          <w:sz w:val="24"/>
          <w:szCs w:val="24"/>
        </w:rPr>
        <w:t xml:space="preserve"> nei fatti</w:t>
      </w:r>
      <w:r w:rsidR="00F31464" w:rsidRPr="00C4795A">
        <w:rPr>
          <w:rFonts w:ascii="Times New Roman" w:hAnsi="Times New Roman" w:cs="Times New Roman"/>
          <w:sz w:val="24"/>
          <w:szCs w:val="24"/>
        </w:rPr>
        <w:t>,</w:t>
      </w:r>
      <w:r w:rsidRPr="00C4795A">
        <w:rPr>
          <w:rFonts w:ascii="Times New Roman" w:hAnsi="Times New Roman" w:cs="Times New Roman"/>
          <w:sz w:val="24"/>
          <w:szCs w:val="24"/>
        </w:rPr>
        <w:t xml:space="preserve"> condurre alla </w:t>
      </w:r>
      <w:r w:rsidR="001022C6" w:rsidRPr="00C4795A">
        <w:rPr>
          <w:rFonts w:ascii="Times New Roman" w:hAnsi="Times New Roman" w:cs="Times New Roman"/>
          <w:sz w:val="24"/>
          <w:szCs w:val="24"/>
        </w:rPr>
        <w:t xml:space="preserve">diminuzione delle occasioni di dialogo diretto tra giudici comuni e Corte </w:t>
      </w:r>
      <w:r w:rsidRPr="00C4795A">
        <w:rPr>
          <w:rFonts w:ascii="Times New Roman" w:hAnsi="Times New Roman" w:cs="Times New Roman"/>
          <w:sz w:val="24"/>
          <w:szCs w:val="24"/>
        </w:rPr>
        <w:t>di giustizia</w:t>
      </w:r>
      <w:r w:rsidR="006F3B09" w:rsidRPr="00C4795A">
        <w:rPr>
          <w:rFonts w:ascii="Times New Roman" w:hAnsi="Times New Roman" w:cs="Times New Roman"/>
          <w:sz w:val="24"/>
          <w:szCs w:val="24"/>
        </w:rPr>
        <w:t>.</w:t>
      </w:r>
      <w:r w:rsidR="001022C6" w:rsidRPr="00C4795A">
        <w:rPr>
          <w:rFonts w:ascii="Times New Roman" w:hAnsi="Times New Roman" w:cs="Times New Roman"/>
          <w:sz w:val="24"/>
          <w:szCs w:val="24"/>
        </w:rPr>
        <w:t xml:space="preserve"> Premesso che le autorità giurisdizionali italiane</w:t>
      </w:r>
      <w:r w:rsidR="00F367F2" w:rsidRPr="00C4795A">
        <w:rPr>
          <w:rFonts w:ascii="Times New Roman" w:hAnsi="Times New Roman" w:cs="Times New Roman"/>
          <w:sz w:val="24"/>
          <w:szCs w:val="24"/>
        </w:rPr>
        <w:t xml:space="preserve"> non sembrano correre questo rischio, visto che</w:t>
      </w:r>
      <w:r w:rsidR="001022C6" w:rsidRPr="00C4795A">
        <w:rPr>
          <w:rFonts w:ascii="Times New Roman" w:hAnsi="Times New Roman" w:cs="Times New Roman"/>
          <w:sz w:val="24"/>
          <w:szCs w:val="24"/>
        </w:rPr>
        <w:t xml:space="preserve"> nel 2024 hanno raggiunto il primato </w:t>
      </w:r>
      <w:r w:rsidR="006F3B09" w:rsidRPr="00C4795A">
        <w:rPr>
          <w:rFonts w:ascii="Times New Roman" w:hAnsi="Times New Roman" w:cs="Times New Roman"/>
          <w:sz w:val="24"/>
          <w:szCs w:val="24"/>
        </w:rPr>
        <w:t xml:space="preserve">europeo </w:t>
      </w:r>
      <w:r w:rsidR="001022C6" w:rsidRPr="00C4795A">
        <w:rPr>
          <w:rFonts w:ascii="Times New Roman" w:hAnsi="Times New Roman" w:cs="Times New Roman"/>
          <w:sz w:val="24"/>
          <w:szCs w:val="24"/>
        </w:rPr>
        <w:t>nell’</w:t>
      </w:r>
      <w:r w:rsidR="00E13695" w:rsidRPr="00C4795A">
        <w:rPr>
          <w:rFonts w:ascii="Times New Roman" w:hAnsi="Times New Roman" w:cs="Times New Roman"/>
          <w:sz w:val="24"/>
          <w:szCs w:val="24"/>
        </w:rPr>
        <w:t>utilizzo de</w:t>
      </w:r>
      <w:r w:rsidR="00F31464" w:rsidRPr="00C4795A">
        <w:rPr>
          <w:rFonts w:ascii="Times New Roman" w:hAnsi="Times New Roman" w:cs="Times New Roman"/>
          <w:sz w:val="24"/>
          <w:szCs w:val="24"/>
        </w:rPr>
        <w:t>llo strumento</w:t>
      </w:r>
      <w:r w:rsidR="001022C6" w:rsidRPr="00C4795A">
        <w:rPr>
          <w:rFonts w:ascii="Times New Roman" w:hAnsi="Times New Roman" w:cs="Times New Roman"/>
          <w:sz w:val="24"/>
          <w:szCs w:val="24"/>
        </w:rPr>
        <w:t xml:space="preserve">, </w:t>
      </w:r>
      <w:r w:rsidR="00F367F2" w:rsidRPr="00C4795A">
        <w:rPr>
          <w:rFonts w:ascii="Times New Roman" w:hAnsi="Times New Roman" w:cs="Times New Roman"/>
          <w:sz w:val="24"/>
          <w:szCs w:val="24"/>
        </w:rPr>
        <w:t xml:space="preserve">proponendo </w:t>
      </w:r>
      <w:r w:rsidR="001022C6" w:rsidRPr="00C4795A">
        <w:rPr>
          <w:rFonts w:ascii="Times New Roman" w:hAnsi="Times New Roman" w:cs="Times New Roman"/>
          <w:sz w:val="24"/>
          <w:szCs w:val="24"/>
        </w:rPr>
        <w:t>98 rinvii</w:t>
      </w:r>
      <w:r w:rsidR="006F3B09" w:rsidRPr="00C4795A">
        <w:rPr>
          <w:rFonts w:ascii="Times New Roman" w:hAnsi="Times New Roman" w:cs="Times New Roman"/>
          <w:sz w:val="24"/>
          <w:szCs w:val="24"/>
        </w:rPr>
        <w:t>, l</w:t>
      </w:r>
      <w:r w:rsidR="00F367F2" w:rsidRPr="00C4795A">
        <w:rPr>
          <w:rFonts w:ascii="Times New Roman" w:hAnsi="Times New Roman" w:cs="Times New Roman"/>
          <w:sz w:val="24"/>
          <w:szCs w:val="24"/>
        </w:rPr>
        <w:t xml:space="preserve">’eventuale </w:t>
      </w:r>
      <w:r w:rsidR="006F3B09" w:rsidRPr="00C4795A">
        <w:rPr>
          <w:rFonts w:ascii="Times New Roman" w:hAnsi="Times New Roman" w:cs="Times New Roman"/>
          <w:sz w:val="24"/>
          <w:szCs w:val="24"/>
        </w:rPr>
        <w:t xml:space="preserve">riduzione </w:t>
      </w:r>
      <w:r w:rsidR="001022C6" w:rsidRPr="00C4795A">
        <w:rPr>
          <w:rFonts w:ascii="Times New Roman" w:hAnsi="Times New Roman" w:cs="Times New Roman"/>
          <w:sz w:val="24"/>
          <w:szCs w:val="24"/>
        </w:rPr>
        <w:t>de</w:t>
      </w:r>
      <w:r w:rsidR="00F367F2" w:rsidRPr="00C4795A">
        <w:rPr>
          <w:rFonts w:ascii="Times New Roman" w:hAnsi="Times New Roman" w:cs="Times New Roman"/>
          <w:sz w:val="24"/>
          <w:szCs w:val="24"/>
        </w:rPr>
        <w:t xml:space="preserve">gli interpelli comunitari </w:t>
      </w:r>
      <w:r w:rsidR="00B577FD" w:rsidRPr="00C4795A">
        <w:rPr>
          <w:rFonts w:ascii="Times New Roman" w:hAnsi="Times New Roman" w:cs="Times New Roman"/>
          <w:sz w:val="24"/>
          <w:szCs w:val="24"/>
        </w:rPr>
        <w:t xml:space="preserve">attivati </w:t>
      </w:r>
      <w:r w:rsidR="00F367F2" w:rsidRPr="00C4795A">
        <w:rPr>
          <w:rFonts w:ascii="Times New Roman" w:hAnsi="Times New Roman" w:cs="Times New Roman"/>
          <w:sz w:val="24"/>
          <w:szCs w:val="24"/>
        </w:rPr>
        <w:t>d</w:t>
      </w:r>
      <w:r w:rsidR="00B577FD" w:rsidRPr="00C4795A">
        <w:rPr>
          <w:rFonts w:ascii="Times New Roman" w:hAnsi="Times New Roman" w:cs="Times New Roman"/>
          <w:sz w:val="24"/>
          <w:szCs w:val="24"/>
        </w:rPr>
        <w:t>a</w:t>
      </w:r>
      <w:r w:rsidR="001022C6" w:rsidRPr="00C4795A">
        <w:rPr>
          <w:rFonts w:ascii="Times New Roman" w:hAnsi="Times New Roman" w:cs="Times New Roman"/>
          <w:sz w:val="24"/>
          <w:szCs w:val="24"/>
        </w:rPr>
        <w:t xml:space="preserve">i giudici </w:t>
      </w:r>
      <w:r w:rsidR="00F367F2" w:rsidRPr="00C4795A">
        <w:rPr>
          <w:rFonts w:ascii="Times New Roman" w:hAnsi="Times New Roman" w:cs="Times New Roman"/>
          <w:sz w:val="24"/>
          <w:szCs w:val="24"/>
        </w:rPr>
        <w:t xml:space="preserve">comuni </w:t>
      </w:r>
      <w:r w:rsidR="006F3B09" w:rsidRPr="00C4795A">
        <w:rPr>
          <w:rFonts w:ascii="Times New Roman" w:hAnsi="Times New Roman" w:cs="Times New Roman"/>
          <w:sz w:val="24"/>
          <w:szCs w:val="24"/>
        </w:rPr>
        <w:t xml:space="preserve">e </w:t>
      </w:r>
      <w:r w:rsidR="00F367F2" w:rsidRPr="00C4795A">
        <w:rPr>
          <w:rFonts w:ascii="Times New Roman" w:hAnsi="Times New Roman" w:cs="Times New Roman"/>
          <w:sz w:val="24"/>
          <w:szCs w:val="24"/>
        </w:rPr>
        <w:t xml:space="preserve">il possibile </w:t>
      </w:r>
      <w:r w:rsidR="006F3B09" w:rsidRPr="00C4795A">
        <w:rPr>
          <w:rFonts w:ascii="Times New Roman" w:hAnsi="Times New Roman" w:cs="Times New Roman"/>
          <w:sz w:val="24"/>
          <w:szCs w:val="24"/>
        </w:rPr>
        <w:t>incremento dei rinvii</w:t>
      </w:r>
      <w:r w:rsidR="006B6039" w:rsidRPr="00C4795A">
        <w:rPr>
          <w:rFonts w:ascii="Times New Roman" w:hAnsi="Times New Roman" w:cs="Times New Roman"/>
          <w:sz w:val="24"/>
          <w:szCs w:val="24"/>
        </w:rPr>
        <w:t xml:space="preserve"> a opera</w:t>
      </w:r>
      <w:r w:rsidR="006F3B09" w:rsidRPr="00C4795A">
        <w:rPr>
          <w:rFonts w:ascii="Times New Roman" w:hAnsi="Times New Roman" w:cs="Times New Roman"/>
          <w:sz w:val="24"/>
          <w:szCs w:val="24"/>
        </w:rPr>
        <w:t xml:space="preserve"> del</w:t>
      </w:r>
      <w:r w:rsidR="00E13695" w:rsidRPr="00C4795A">
        <w:rPr>
          <w:rFonts w:ascii="Times New Roman" w:hAnsi="Times New Roman" w:cs="Times New Roman"/>
          <w:sz w:val="24"/>
          <w:szCs w:val="24"/>
        </w:rPr>
        <w:t xml:space="preserve"> giudice delle leggi</w:t>
      </w:r>
      <w:r w:rsidR="00F367F2" w:rsidRPr="00C4795A">
        <w:rPr>
          <w:rFonts w:ascii="Times New Roman" w:hAnsi="Times New Roman" w:cs="Times New Roman"/>
          <w:sz w:val="24"/>
          <w:szCs w:val="24"/>
        </w:rPr>
        <w:t xml:space="preserve"> </w:t>
      </w:r>
      <w:r w:rsidR="006F3B09" w:rsidRPr="00C4795A">
        <w:rPr>
          <w:rFonts w:ascii="Times New Roman" w:hAnsi="Times New Roman" w:cs="Times New Roman"/>
          <w:sz w:val="24"/>
          <w:szCs w:val="24"/>
        </w:rPr>
        <w:t xml:space="preserve">non </w:t>
      </w:r>
      <w:r w:rsidR="00F367F2" w:rsidRPr="00C4795A">
        <w:rPr>
          <w:rFonts w:ascii="Times New Roman" w:hAnsi="Times New Roman" w:cs="Times New Roman"/>
          <w:sz w:val="24"/>
          <w:szCs w:val="24"/>
        </w:rPr>
        <w:t xml:space="preserve">sembra </w:t>
      </w:r>
      <w:r w:rsidR="006F3B09" w:rsidRPr="00C4795A">
        <w:rPr>
          <w:rFonts w:ascii="Times New Roman" w:hAnsi="Times New Roman" w:cs="Times New Roman"/>
          <w:sz w:val="24"/>
          <w:szCs w:val="24"/>
        </w:rPr>
        <w:t>da considerare come un difetto</w:t>
      </w:r>
      <w:r w:rsidR="001B2533" w:rsidRPr="00C4795A">
        <w:rPr>
          <w:rFonts w:ascii="Times New Roman" w:hAnsi="Times New Roman" w:cs="Times New Roman"/>
          <w:sz w:val="24"/>
          <w:szCs w:val="24"/>
        </w:rPr>
        <w:t>, ma semmai come un valore aggiunto</w:t>
      </w:r>
      <w:r w:rsidR="00F367F2" w:rsidRPr="00C4795A">
        <w:rPr>
          <w:rFonts w:ascii="Times New Roman" w:hAnsi="Times New Roman" w:cs="Times New Roman"/>
          <w:sz w:val="24"/>
          <w:szCs w:val="24"/>
        </w:rPr>
        <w:t>, nella logica della circolarità delle tutele</w:t>
      </w:r>
      <w:r w:rsidR="004E2D63" w:rsidRPr="00C4795A">
        <w:rPr>
          <w:rStyle w:val="Rimandonotaapidipagina"/>
          <w:rFonts w:ascii="Times New Roman" w:hAnsi="Times New Roman" w:cs="Times New Roman"/>
          <w:sz w:val="24"/>
          <w:szCs w:val="24"/>
        </w:rPr>
        <w:footnoteReference w:id="50"/>
      </w:r>
      <w:r w:rsidR="006F3B09" w:rsidRPr="00C4795A">
        <w:rPr>
          <w:rFonts w:ascii="Times New Roman" w:hAnsi="Times New Roman" w:cs="Times New Roman"/>
          <w:sz w:val="24"/>
          <w:szCs w:val="24"/>
        </w:rPr>
        <w:t xml:space="preserve">. </w:t>
      </w:r>
      <w:r w:rsidR="00AA28A1" w:rsidRPr="00C4795A">
        <w:rPr>
          <w:rFonts w:ascii="Times New Roman" w:hAnsi="Times New Roman" w:cs="Times New Roman"/>
          <w:sz w:val="24"/>
          <w:szCs w:val="24"/>
        </w:rPr>
        <w:t xml:space="preserve">Il </w:t>
      </w:r>
      <w:r w:rsidR="00AB25C7" w:rsidRPr="00C4795A">
        <w:rPr>
          <w:rFonts w:ascii="Times New Roman" w:hAnsi="Times New Roman" w:cs="Times New Roman"/>
          <w:sz w:val="24"/>
          <w:szCs w:val="24"/>
          <w:shd w:val="clear" w:color="auto" w:fill="FFFFFF"/>
        </w:rPr>
        <w:t>rinvio preg</w:t>
      </w:r>
      <w:r w:rsidR="00AA28A1" w:rsidRPr="00C4795A">
        <w:rPr>
          <w:rFonts w:ascii="Times New Roman" w:hAnsi="Times New Roman" w:cs="Times New Roman"/>
          <w:sz w:val="24"/>
          <w:szCs w:val="24"/>
          <w:shd w:val="clear" w:color="auto" w:fill="FFFFFF"/>
        </w:rPr>
        <w:t>iudiziale dei giudici comuni</w:t>
      </w:r>
      <w:r w:rsidR="00033FB5" w:rsidRPr="00C4795A">
        <w:rPr>
          <w:rFonts w:ascii="Times New Roman" w:hAnsi="Times New Roman" w:cs="Times New Roman"/>
          <w:sz w:val="24"/>
          <w:szCs w:val="24"/>
          <w:shd w:val="clear" w:color="auto" w:fill="FFFFFF"/>
        </w:rPr>
        <w:t xml:space="preserve">, infatti, </w:t>
      </w:r>
      <w:r w:rsidR="00F367F2" w:rsidRPr="00C4795A">
        <w:rPr>
          <w:rFonts w:ascii="Times New Roman" w:hAnsi="Times New Roman" w:cs="Times New Roman"/>
          <w:sz w:val="24"/>
          <w:szCs w:val="24"/>
          <w:shd w:val="clear" w:color="auto" w:fill="FFFFFF"/>
        </w:rPr>
        <w:t>finisce inevitabilmente per basarsi</w:t>
      </w:r>
      <w:r w:rsidR="00033FB5" w:rsidRPr="00C4795A">
        <w:rPr>
          <w:rFonts w:ascii="Times New Roman" w:hAnsi="Times New Roman" w:cs="Times New Roman"/>
          <w:sz w:val="24"/>
          <w:szCs w:val="24"/>
          <w:shd w:val="clear" w:color="auto" w:fill="FFFFFF"/>
        </w:rPr>
        <w:t xml:space="preserve"> </w:t>
      </w:r>
      <w:r w:rsidR="00AB25C7" w:rsidRPr="00C4795A">
        <w:rPr>
          <w:rFonts w:ascii="Times New Roman" w:hAnsi="Times New Roman" w:cs="Times New Roman"/>
          <w:sz w:val="24"/>
          <w:szCs w:val="24"/>
          <w:shd w:val="clear" w:color="auto" w:fill="FFFFFF"/>
        </w:rPr>
        <w:t>su un raffronto tra istantanee normative</w:t>
      </w:r>
      <w:r w:rsidR="00B02BB3" w:rsidRPr="00C4795A">
        <w:rPr>
          <w:rFonts w:ascii="Times New Roman" w:hAnsi="Times New Roman" w:cs="Times New Roman"/>
          <w:sz w:val="24"/>
          <w:szCs w:val="24"/>
          <w:shd w:val="clear" w:color="auto" w:fill="FFFFFF"/>
        </w:rPr>
        <w:t>,</w:t>
      </w:r>
      <w:r w:rsidR="00AB25C7" w:rsidRPr="00C4795A">
        <w:rPr>
          <w:rFonts w:ascii="Times New Roman" w:hAnsi="Times New Roman" w:cs="Times New Roman"/>
          <w:sz w:val="24"/>
          <w:szCs w:val="24"/>
          <w:shd w:val="clear" w:color="auto" w:fill="FFFFFF"/>
        </w:rPr>
        <w:t xml:space="preserve"> </w:t>
      </w:r>
      <w:r w:rsidR="00F367F2" w:rsidRPr="00C4795A">
        <w:rPr>
          <w:rFonts w:ascii="Times New Roman" w:hAnsi="Times New Roman" w:cs="Times New Roman"/>
          <w:sz w:val="24"/>
          <w:szCs w:val="24"/>
          <w:shd w:val="clear" w:color="auto" w:fill="FFFFFF"/>
        </w:rPr>
        <w:t xml:space="preserve">mentre </w:t>
      </w:r>
      <w:r w:rsidR="00AB25C7" w:rsidRPr="00C4795A">
        <w:rPr>
          <w:rFonts w:ascii="Times New Roman" w:hAnsi="Times New Roman" w:cs="Times New Roman"/>
          <w:sz w:val="24"/>
          <w:szCs w:val="24"/>
          <w:shd w:val="clear" w:color="auto" w:fill="FFFFFF"/>
        </w:rPr>
        <w:t>la Corte cost</w:t>
      </w:r>
      <w:r w:rsidR="00694161" w:rsidRPr="00C4795A">
        <w:rPr>
          <w:rFonts w:ascii="Times New Roman" w:hAnsi="Times New Roman" w:cs="Times New Roman"/>
          <w:sz w:val="24"/>
          <w:szCs w:val="24"/>
          <w:shd w:val="clear" w:color="auto" w:fill="FFFFFF"/>
        </w:rPr>
        <w:t>ituzionale</w:t>
      </w:r>
      <w:r w:rsidR="00AB25C7" w:rsidRPr="00C4795A">
        <w:rPr>
          <w:rFonts w:ascii="Times New Roman" w:hAnsi="Times New Roman" w:cs="Times New Roman"/>
          <w:sz w:val="24"/>
          <w:szCs w:val="24"/>
          <w:shd w:val="clear" w:color="auto" w:fill="FFFFFF"/>
        </w:rPr>
        <w:t xml:space="preserve"> p</w:t>
      </w:r>
      <w:r w:rsidR="002B4218" w:rsidRPr="00C4795A">
        <w:rPr>
          <w:rFonts w:ascii="Times New Roman" w:hAnsi="Times New Roman" w:cs="Times New Roman"/>
          <w:sz w:val="24"/>
          <w:szCs w:val="24"/>
          <w:shd w:val="clear" w:color="auto" w:fill="FFFFFF"/>
        </w:rPr>
        <w:t xml:space="preserve">uò </w:t>
      </w:r>
      <w:r w:rsidR="00AB25C7" w:rsidRPr="00C4795A">
        <w:rPr>
          <w:rFonts w:ascii="Times New Roman" w:hAnsi="Times New Roman" w:cs="Times New Roman"/>
          <w:sz w:val="24"/>
          <w:szCs w:val="24"/>
          <w:shd w:val="clear" w:color="auto" w:fill="FFFFFF"/>
        </w:rPr>
        <w:t xml:space="preserve">indirizzare alla CGUE un </w:t>
      </w:r>
      <w:r w:rsidR="00F46C40" w:rsidRPr="00C4795A">
        <w:rPr>
          <w:rFonts w:ascii="Times New Roman" w:hAnsi="Times New Roman" w:cs="Times New Roman"/>
          <w:sz w:val="24"/>
          <w:szCs w:val="24"/>
          <w:shd w:val="clear" w:color="auto" w:fill="FFFFFF"/>
        </w:rPr>
        <w:t>quesito</w:t>
      </w:r>
      <w:r w:rsidR="00AB25C7" w:rsidRPr="00C4795A">
        <w:rPr>
          <w:rFonts w:ascii="Times New Roman" w:hAnsi="Times New Roman" w:cs="Times New Roman"/>
          <w:sz w:val="24"/>
          <w:szCs w:val="24"/>
          <w:shd w:val="clear" w:color="auto" w:fill="FFFFFF"/>
        </w:rPr>
        <w:t xml:space="preserve"> di ben altro </w:t>
      </w:r>
      <w:r w:rsidR="00694161" w:rsidRPr="00C4795A">
        <w:rPr>
          <w:rFonts w:ascii="Times New Roman" w:hAnsi="Times New Roman" w:cs="Times New Roman"/>
          <w:sz w:val="24"/>
          <w:szCs w:val="24"/>
          <w:shd w:val="clear" w:color="auto" w:fill="FFFFFF"/>
        </w:rPr>
        <w:t>spessore</w:t>
      </w:r>
      <w:r w:rsidR="00D63EA3" w:rsidRPr="00C4795A">
        <w:rPr>
          <w:rFonts w:ascii="Times New Roman" w:hAnsi="Times New Roman" w:cs="Times New Roman"/>
          <w:sz w:val="24"/>
          <w:szCs w:val="24"/>
          <w:shd w:val="clear" w:color="auto" w:fill="FFFFFF"/>
        </w:rPr>
        <w:t xml:space="preserve">, estendendo il </w:t>
      </w:r>
      <w:r w:rsidR="002B4218" w:rsidRPr="00C4795A">
        <w:rPr>
          <w:rFonts w:ascii="Times New Roman" w:hAnsi="Times New Roman" w:cs="Times New Roman"/>
          <w:sz w:val="24"/>
          <w:szCs w:val="24"/>
          <w:shd w:val="clear" w:color="auto" w:fill="FFFFFF"/>
        </w:rPr>
        <w:t xml:space="preserve">confronto tra norme </w:t>
      </w:r>
      <w:r w:rsidR="00EC7C13" w:rsidRPr="00C4795A">
        <w:rPr>
          <w:rFonts w:ascii="Times New Roman" w:hAnsi="Times New Roman" w:cs="Times New Roman"/>
          <w:sz w:val="24"/>
          <w:szCs w:val="24"/>
          <w:shd w:val="clear" w:color="auto" w:fill="FFFFFF"/>
        </w:rPr>
        <w:t xml:space="preserve">interne e unionali </w:t>
      </w:r>
      <w:r w:rsidR="002B4218" w:rsidRPr="00C4795A">
        <w:rPr>
          <w:rFonts w:ascii="Times New Roman" w:hAnsi="Times New Roman" w:cs="Times New Roman"/>
          <w:sz w:val="24"/>
          <w:szCs w:val="24"/>
          <w:shd w:val="clear" w:color="auto" w:fill="FFFFFF"/>
        </w:rPr>
        <w:t xml:space="preserve">a principi </w:t>
      </w:r>
      <w:r w:rsidR="00AB25C7" w:rsidRPr="00C4795A">
        <w:rPr>
          <w:rFonts w:ascii="Times New Roman" w:hAnsi="Times New Roman" w:cs="Times New Roman"/>
          <w:sz w:val="24"/>
          <w:szCs w:val="24"/>
          <w:shd w:val="clear" w:color="auto" w:fill="FFFFFF"/>
        </w:rPr>
        <w:t xml:space="preserve">costituzionali </w:t>
      </w:r>
      <w:r w:rsidR="00CD4D86" w:rsidRPr="00C4795A">
        <w:rPr>
          <w:rFonts w:ascii="Times New Roman" w:hAnsi="Times New Roman" w:cs="Times New Roman"/>
          <w:sz w:val="24"/>
          <w:szCs w:val="24"/>
          <w:shd w:val="clear" w:color="auto" w:fill="FFFFFF"/>
        </w:rPr>
        <w:t>estranei al</w:t>
      </w:r>
      <w:r w:rsidR="00033FB5" w:rsidRPr="00C4795A">
        <w:rPr>
          <w:rFonts w:ascii="Times New Roman" w:hAnsi="Times New Roman" w:cs="Times New Roman"/>
          <w:sz w:val="24"/>
          <w:szCs w:val="24"/>
          <w:shd w:val="clear" w:color="auto" w:fill="FFFFFF"/>
        </w:rPr>
        <w:t xml:space="preserve">l’angolo visuale </w:t>
      </w:r>
      <w:r w:rsidR="00CD4D86" w:rsidRPr="00C4795A">
        <w:rPr>
          <w:rFonts w:ascii="Times New Roman" w:hAnsi="Times New Roman" w:cs="Times New Roman"/>
          <w:sz w:val="24"/>
          <w:szCs w:val="24"/>
          <w:shd w:val="clear" w:color="auto" w:fill="FFFFFF"/>
        </w:rPr>
        <w:t>del giudice comune</w:t>
      </w:r>
      <w:r w:rsidR="00CF6134" w:rsidRPr="00C4795A">
        <w:rPr>
          <w:rFonts w:ascii="Times New Roman" w:hAnsi="Times New Roman" w:cs="Times New Roman"/>
          <w:sz w:val="24"/>
          <w:szCs w:val="24"/>
          <w:shd w:val="clear" w:color="auto" w:fill="FFFFFF"/>
        </w:rPr>
        <w:t>.</w:t>
      </w:r>
      <w:bookmarkStart w:id="2" w:name="_Hlk218680417"/>
      <w:r w:rsidR="00EC7C13" w:rsidRPr="00C4795A">
        <w:rPr>
          <w:rFonts w:ascii="Times New Roman" w:hAnsi="Times New Roman" w:cs="Times New Roman"/>
          <w:sz w:val="24"/>
          <w:szCs w:val="24"/>
        </w:rPr>
        <w:t xml:space="preserve"> </w:t>
      </w:r>
      <w:r w:rsidR="000C73E4" w:rsidRPr="00C4795A">
        <w:rPr>
          <w:rFonts w:ascii="Times New Roman" w:hAnsi="Times New Roman" w:cs="Times New Roman"/>
          <w:sz w:val="24"/>
          <w:szCs w:val="24"/>
          <w:shd w:val="clear" w:color="auto" w:fill="FFFFFF"/>
        </w:rPr>
        <w:t>Può</w:t>
      </w:r>
      <w:r w:rsidR="00E13695" w:rsidRPr="00C4795A">
        <w:rPr>
          <w:rFonts w:ascii="Times New Roman" w:hAnsi="Times New Roman" w:cs="Times New Roman"/>
          <w:sz w:val="24"/>
          <w:szCs w:val="24"/>
          <w:shd w:val="clear" w:color="auto" w:fill="FFFFFF"/>
        </w:rPr>
        <w:t>,</w:t>
      </w:r>
      <w:r w:rsidR="000C73E4" w:rsidRPr="00C4795A">
        <w:rPr>
          <w:rFonts w:ascii="Times New Roman" w:hAnsi="Times New Roman" w:cs="Times New Roman"/>
          <w:sz w:val="24"/>
          <w:szCs w:val="24"/>
          <w:shd w:val="clear" w:color="auto" w:fill="FFFFFF"/>
        </w:rPr>
        <w:t xml:space="preserve"> dunque</w:t>
      </w:r>
      <w:r w:rsidR="00E13695" w:rsidRPr="00C4795A">
        <w:rPr>
          <w:rFonts w:ascii="Times New Roman" w:hAnsi="Times New Roman" w:cs="Times New Roman"/>
          <w:sz w:val="24"/>
          <w:szCs w:val="24"/>
          <w:shd w:val="clear" w:color="auto" w:fill="FFFFFF"/>
        </w:rPr>
        <w:t>,</w:t>
      </w:r>
      <w:r w:rsidR="000C73E4" w:rsidRPr="00C4795A">
        <w:rPr>
          <w:rFonts w:ascii="Times New Roman" w:hAnsi="Times New Roman" w:cs="Times New Roman"/>
          <w:sz w:val="24"/>
          <w:szCs w:val="24"/>
          <w:shd w:val="clear" w:color="auto" w:fill="FFFFFF"/>
        </w:rPr>
        <w:t xml:space="preserve"> rappresentare </w:t>
      </w:r>
      <w:r w:rsidR="004E3D4E" w:rsidRPr="00C4795A">
        <w:rPr>
          <w:rFonts w:ascii="Times New Roman" w:hAnsi="Times New Roman" w:cs="Times New Roman"/>
          <w:sz w:val="24"/>
          <w:szCs w:val="24"/>
          <w:shd w:val="clear" w:color="auto" w:fill="FFFFFF"/>
        </w:rPr>
        <w:t xml:space="preserve">autenticamente </w:t>
      </w:r>
      <w:r w:rsidR="000C73E4" w:rsidRPr="00C4795A">
        <w:rPr>
          <w:rFonts w:ascii="Times New Roman" w:hAnsi="Times New Roman" w:cs="Times New Roman"/>
          <w:sz w:val="24"/>
          <w:szCs w:val="24"/>
          <w:shd w:val="clear" w:color="auto" w:fill="FFFFFF"/>
        </w:rPr>
        <w:t>i</w:t>
      </w:r>
      <w:r w:rsidR="00033FB5" w:rsidRPr="00C4795A">
        <w:rPr>
          <w:rFonts w:ascii="Times New Roman" w:hAnsi="Times New Roman" w:cs="Times New Roman"/>
          <w:sz w:val="24"/>
          <w:szCs w:val="24"/>
          <w:shd w:val="clear" w:color="auto" w:fill="FFFFFF"/>
        </w:rPr>
        <w:t xml:space="preserve">l punto </w:t>
      </w:r>
      <w:r w:rsidR="000C73E4" w:rsidRPr="00C4795A">
        <w:rPr>
          <w:rFonts w:ascii="Times New Roman" w:hAnsi="Times New Roman" w:cs="Times New Roman"/>
          <w:sz w:val="24"/>
          <w:szCs w:val="24"/>
          <w:shd w:val="clear" w:color="auto" w:fill="FFFFFF"/>
        </w:rPr>
        <w:t xml:space="preserve">di vista </w:t>
      </w:r>
      <w:r w:rsidR="00033FB5" w:rsidRPr="00C4795A">
        <w:rPr>
          <w:rFonts w:ascii="Times New Roman" w:hAnsi="Times New Roman" w:cs="Times New Roman"/>
          <w:sz w:val="24"/>
          <w:szCs w:val="24"/>
          <w:shd w:val="clear" w:color="auto" w:fill="FFFFFF"/>
        </w:rPr>
        <w:t>interno</w:t>
      </w:r>
      <w:r w:rsidR="000C73E4" w:rsidRPr="00C4795A">
        <w:rPr>
          <w:rFonts w:ascii="Times New Roman" w:hAnsi="Times New Roman" w:cs="Times New Roman"/>
          <w:sz w:val="24"/>
          <w:szCs w:val="24"/>
          <w:shd w:val="clear" w:color="auto" w:fill="FFFFFF"/>
        </w:rPr>
        <w:t xml:space="preserve">, illuminandolo con il riferimento alla tradizione costituzionale nazionale ed eventualmente avvertendo la Corte di giustizia, come è stato nei casi Taricco e Bolognesi, quando le interpretazioni del diritto unionale sono incompatibili con principi supremi dell’ordinamento </w:t>
      </w:r>
      <w:r w:rsidR="00033FB5" w:rsidRPr="00C4795A">
        <w:rPr>
          <w:rFonts w:ascii="Times New Roman" w:hAnsi="Times New Roman" w:cs="Times New Roman"/>
          <w:sz w:val="24"/>
          <w:szCs w:val="24"/>
          <w:shd w:val="clear" w:color="auto" w:fill="FFFFFF"/>
        </w:rPr>
        <w:t xml:space="preserve">e dunque innescano l’arma dei </w:t>
      </w:r>
      <w:r w:rsidR="000C73E4" w:rsidRPr="00C4795A">
        <w:rPr>
          <w:rFonts w:ascii="Times New Roman" w:hAnsi="Times New Roman" w:cs="Times New Roman"/>
          <w:sz w:val="24"/>
          <w:szCs w:val="24"/>
          <w:shd w:val="clear" w:color="auto" w:fill="FFFFFF"/>
        </w:rPr>
        <w:t xml:space="preserve">controlimiti. </w:t>
      </w:r>
    </w:p>
    <w:p w14:paraId="37621590" w14:textId="77777777" w:rsidR="00E13695" w:rsidRPr="00C4795A" w:rsidRDefault="00E13695" w:rsidP="005F12F9">
      <w:pPr>
        <w:jc w:val="both"/>
        <w:rPr>
          <w:rFonts w:ascii="Times New Roman" w:hAnsi="Times New Roman" w:cs="Times New Roman"/>
          <w:sz w:val="24"/>
          <w:szCs w:val="24"/>
        </w:rPr>
      </w:pPr>
    </w:p>
    <w:p w14:paraId="09B23BAD" w14:textId="77777777" w:rsidR="003B4D02" w:rsidRPr="00C4795A" w:rsidRDefault="003B4D02" w:rsidP="006C51FF">
      <w:pPr>
        <w:jc w:val="both"/>
        <w:rPr>
          <w:rFonts w:ascii="Times New Roman" w:hAnsi="Times New Roman" w:cs="Times New Roman"/>
          <w:b/>
          <w:bCs/>
          <w:i/>
          <w:iCs/>
          <w:sz w:val="24"/>
          <w:szCs w:val="24"/>
        </w:rPr>
      </w:pPr>
      <w:r w:rsidRPr="00C4795A">
        <w:rPr>
          <w:rFonts w:ascii="Times New Roman" w:hAnsi="Times New Roman" w:cs="Times New Roman"/>
          <w:b/>
          <w:bCs/>
          <w:i/>
          <w:iCs/>
          <w:sz w:val="24"/>
          <w:szCs w:val="24"/>
        </w:rPr>
        <w:t xml:space="preserve">III. Le soluzioni prospettate. </w:t>
      </w:r>
    </w:p>
    <w:p w14:paraId="44AE3689" w14:textId="5E478AF6" w:rsidR="006E0AF0" w:rsidRPr="00C4795A" w:rsidRDefault="006E0AF0" w:rsidP="00E13695">
      <w:pPr>
        <w:spacing w:after="0" w:line="250" w:lineRule="atLeast"/>
        <w:jc w:val="both"/>
        <w:rPr>
          <w:rFonts w:ascii="Times New Roman" w:hAnsi="Times New Roman" w:cs="Times New Roman"/>
          <w:sz w:val="24"/>
          <w:szCs w:val="24"/>
        </w:rPr>
      </w:pPr>
      <w:r w:rsidRPr="00C4795A">
        <w:rPr>
          <w:rFonts w:ascii="Times New Roman" w:hAnsi="Times New Roman" w:cs="Times New Roman"/>
          <w:sz w:val="24"/>
          <w:szCs w:val="24"/>
        </w:rPr>
        <w:t xml:space="preserve">Giunti a questo tornante del percorso, </w:t>
      </w:r>
      <w:r w:rsidR="000460C0" w:rsidRPr="00C4795A">
        <w:rPr>
          <w:rFonts w:ascii="Times New Roman" w:hAnsi="Times New Roman" w:cs="Times New Roman"/>
          <w:sz w:val="24"/>
          <w:szCs w:val="24"/>
        </w:rPr>
        <w:t>al</w:t>
      </w:r>
      <w:r w:rsidRPr="00C4795A">
        <w:rPr>
          <w:rFonts w:ascii="Times New Roman" w:hAnsi="Times New Roman" w:cs="Times New Roman"/>
          <w:sz w:val="24"/>
          <w:szCs w:val="24"/>
        </w:rPr>
        <w:t>la vicenda che ha il suo punto di</w:t>
      </w:r>
      <w:r w:rsidR="00F148BF" w:rsidRPr="00C4795A">
        <w:rPr>
          <w:rFonts w:ascii="Times New Roman" w:hAnsi="Times New Roman" w:cs="Times New Roman"/>
          <w:sz w:val="24"/>
          <w:szCs w:val="24"/>
        </w:rPr>
        <w:t xml:space="preserve"> </w:t>
      </w:r>
      <w:r w:rsidR="00B330D6" w:rsidRPr="00C4795A">
        <w:rPr>
          <w:rFonts w:ascii="Times New Roman" w:hAnsi="Times New Roman" w:cs="Times New Roman"/>
          <w:sz w:val="24"/>
          <w:szCs w:val="24"/>
        </w:rPr>
        <w:t>snodo</w:t>
      </w:r>
      <w:r w:rsidRPr="00C4795A">
        <w:rPr>
          <w:rFonts w:ascii="Times New Roman" w:hAnsi="Times New Roman" w:cs="Times New Roman"/>
          <w:sz w:val="24"/>
          <w:szCs w:val="24"/>
        </w:rPr>
        <w:t xml:space="preserve"> nella sentenza 181</w:t>
      </w:r>
      <w:r w:rsidR="0084367A" w:rsidRPr="00C4795A">
        <w:rPr>
          <w:rFonts w:ascii="Times New Roman" w:hAnsi="Times New Roman" w:cs="Times New Roman"/>
          <w:sz w:val="24"/>
          <w:szCs w:val="24"/>
        </w:rPr>
        <w:t xml:space="preserve"> del 2024</w:t>
      </w:r>
      <w:r w:rsidRPr="00C4795A">
        <w:rPr>
          <w:rFonts w:ascii="Times New Roman" w:hAnsi="Times New Roman" w:cs="Times New Roman"/>
          <w:sz w:val="24"/>
          <w:szCs w:val="24"/>
        </w:rPr>
        <w:t xml:space="preserve"> potrebbe </w:t>
      </w:r>
      <w:r w:rsidR="000460C0" w:rsidRPr="00C4795A">
        <w:rPr>
          <w:rFonts w:ascii="Times New Roman" w:hAnsi="Times New Roman" w:cs="Times New Roman"/>
          <w:sz w:val="24"/>
          <w:szCs w:val="24"/>
        </w:rPr>
        <w:t xml:space="preserve">attagliarsi il </w:t>
      </w:r>
      <w:r w:rsidRPr="00C4795A">
        <w:rPr>
          <w:rFonts w:ascii="Times New Roman" w:hAnsi="Times New Roman" w:cs="Times New Roman"/>
          <w:sz w:val="24"/>
          <w:szCs w:val="24"/>
        </w:rPr>
        <w:t xml:space="preserve">titolo di un romanzo </w:t>
      </w:r>
      <w:r w:rsidR="000460C0" w:rsidRPr="00C4795A">
        <w:rPr>
          <w:rFonts w:ascii="Times New Roman" w:hAnsi="Times New Roman" w:cs="Times New Roman"/>
          <w:sz w:val="24"/>
          <w:szCs w:val="24"/>
        </w:rPr>
        <w:t xml:space="preserve">picaresco </w:t>
      </w:r>
      <w:r w:rsidRPr="00C4795A">
        <w:rPr>
          <w:rFonts w:ascii="Times New Roman" w:hAnsi="Times New Roman" w:cs="Times New Roman"/>
          <w:sz w:val="24"/>
          <w:szCs w:val="24"/>
        </w:rPr>
        <w:t xml:space="preserve">del regista Paolo Sorrentino: </w:t>
      </w:r>
      <w:r w:rsidR="000460C0" w:rsidRPr="00C4795A">
        <w:rPr>
          <w:rFonts w:ascii="Times New Roman" w:hAnsi="Times New Roman" w:cs="Times New Roman"/>
          <w:sz w:val="24"/>
          <w:szCs w:val="24"/>
        </w:rPr>
        <w:t>“</w:t>
      </w:r>
      <w:r w:rsidRPr="00C4795A">
        <w:rPr>
          <w:rFonts w:ascii="Times New Roman" w:hAnsi="Times New Roman" w:cs="Times New Roman"/>
          <w:sz w:val="24"/>
          <w:szCs w:val="24"/>
        </w:rPr>
        <w:t>hanno tutti ragione</w:t>
      </w:r>
      <w:r w:rsidR="000460C0" w:rsidRPr="00C4795A">
        <w:rPr>
          <w:rFonts w:ascii="Times New Roman" w:hAnsi="Times New Roman" w:cs="Times New Roman"/>
          <w:sz w:val="24"/>
          <w:szCs w:val="24"/>
        </w:rPr>
        <w:t>”</w:t>
      </w:r>
      <w:r w:rsidRPr="00C4795A">
        <w:rPr>
          <w:rFonts w:ascii="Times New Roman" w:hAnsi="Times New Roman" w:cs="Times New Roman"/>
          <w:sz w:val="24"/>
          <w:szCs w:val="24"/>
        </w:rPr>
        <w:t xml:space="preserve">. </w:t>
      </w:r>
    </w:p>
    <w:p w14:paraId="6A6EFEC8" w14:textId="0D28ABDB" w:rsidR="006E0AF0" w:rsidRPr="00C4795A" w:rsidRDefault="006E0AF0" w:rsidP="00E13695">
      <w:pPr>
        <w:spacing w:after="0" w:line="250" w:lineRule="atLeast"/>
        <w:jc w:val="both"/>
        <w:rPr>
          <w:rFonts w:ascii="Times New Roman" w:hAnsi="Times New Roman" w:cs="Times New Roman"/>
          <w:sz w:val="24"/>
          <w:szCs w:val="24"/>
        </w:rPr>
      </w:pPr>
      <w:r w:rsidRPr="00C4795A">
        <w:rPr>
          <w:rFonts w:ascii="Times New Roman" w:hAnsi="Times New Roman" w:cs="Times New Roman"/>
          <w:sz w:val="24"/>
          <w:szCs w:val="24"/>
        </w:rPr>
        <w:t>Ha ragione la Corte nel dire che la dichiarazione di incostituzionalità rafforza il primato e lo completa nella misura in cui garantisce la certezza del diritto</w:t>
      </w:r>
      <w:r w:rsidR="00B330D6" w:rsidRPr="00C4795A">
        <w:rPr>
          <w:rFonts w:ascii="Times New Roman" w:hAnsi="Times New Roman" w:cs="Times New Roman"/>
          <w:sz w:val="24"/>
          <w:szCs w:val="24"/>
        </w:rPr>
        <w:t>,</w:t>
      </w:r>
      <w:r w:rsidRPr="00C4795A">
        <w:rPr>
          <w:rFonts w:ascii="Times New Roman" w:hAnsi="Times New Roman" w:cs="Times New Roman"/>
          <w:sz w:val="24"/>
          <w:szCs w:val="24"/>
        </w:rPr>
        <w:t xml:space="preserve"> che non è </w:t>
      </w:r>
      <w:r w:rsidR="001F480F" w:rsidRPr="00C4795A">
        <w:rPr>
          <w:rFonts w:ascii="Times New Roman" w:hAnsi="Times New Roman" w:cs="Times New Roman"/>
          <w:sz w:val="24"/>
          <w:szCs w:val="24"/>
        </w:rPr>
        <w:t xml:space="preserve">un </w:t>
      </w:r>
      <w:r w:rsidRPr="00C4795A">
        <w:rPr>
          <w:rFonts w:ascii="Times New Roman" w:hAnsi="Times New Roman" w:cs="Times New Roman"/>
          <w:sz w:val="24"/>
          <w:szCs w:val="24"/>
        </w:rPr>
        <w:t>bene astratto e ideale</w:t>
      </w:r>
      <w:r w:rsidRPr="00C4795A">
        <w:rPr>
          <w:rStyle w:val="Rimandonotaapidipagina"/>
          <w:rFonts w:ascii="Times New Roman" w:hAnsi="Times New Roman" w:cs="Times New Roman"/>
          <w:sz w:val="24"/>
          <w:szCs w:val="24"/>
        </w:rPr>
        <w:footnoteReference w:id="51"/>
      </w:r>
      <w:r w:rsidRPr="00C4795A">
        <w:rPr>
          <w:rFonts w:ascii="Times New Roman" w:hAnsi="Times New Roman" w:cs="Times New Roman"/>
          <w:sz w:val="24"/>
          <w:szCs w:val="24"/>
        </w:rPr>
        <w:t>, una dichiarazione ottativa, ma assume qui la concretezza del rispetto del principio di eguaglianza nella tutela dei diritti, che campeggia fra i principi supremi dell’ordinamento ed è una delle ragioni fondanti del controllo accentrato, a sua volta espressione di un principio supremo</w:t>
      </w:r>
      <w:r w:rsidR="00BB0BFB" w:rsidRPr="00C4795A">
        <w:rPr>
          <w:rStyle w:val="Rimandonotaapidipagina"/>
          <w:rFonts w:ascii="Times New Roman" w:hAnsi="Times New Roman" w:cs="Times New Roman"/>
          <w:sz w:val="24"/>
          <w:szCs w:val="24"/>
        </w:rPr>
        <w:footnoteReference w:id="52"/>
      </w:r>
      <w:r w:rsidRPr="00C4795A">
        <w:rPr>
          <w:rFonts w:ascii="Times New Roman" w:hAnsi="Times New Roman" w:cs="Times New Roman"/>
          <w:sz w:val="24"/>
          <w:szCs w:val="24"/>
        </w:rPr>
        <w:t>.</w:t>
      </w:r>
    </w:p>
    <w:p w14:paraId="538F8500" w14:textId="5A0C31FE" w:rsidR="00FE5759" w:rsidRPr="00C4795A" w:rsidRDefault="006E0AF0" w:rsidP="00E13695">
      <w:pPr>
        <w:spacing w:after="0" w:line="250" w:lineRule="atLeast"/>
        <w:jc w:val="both"/>
        <w:rPr>
          <w:rFonts w:ascii="Times New Roman" w:hAnsi="Times New Roman" w:cs="Times New Roman"/>
          <w:sz w:val="24"/>
          <w:szCs w:val="24"/>
        </w:rPr>
      </w:pPr>
      <w:r w:rsidRPr="00C4795A">
        <w:rPr>
          <w:rFonts w:ascii="Times New Roman" w:hAnsi="Times New Roman" w:cs="Times New Roman"/>
          <w:sz w:val="24"/>
          <w:szCs w:val="24"/>
        </w:rPr>
        <w:t>Hanno</w:t>
      </w:r>
      <w:r w:rsidR="00DC43F5" w:rsidRPr="00C4795A">
        <w:rPr>
          <w:rFonts w:ascii="Times New Roman" w:hAnsi="Times New Roman" w:cs="Times New Roman"/>
          <w:sz w:val="24"/>
          <w:szCs w:val="24"/>
        </w:rPr>
        <w:t>,</w:t>
      </w:r>
      <w:r w:rsidRPr="00C4795A">
        <w:rPr>
          <w:rFonts w:ascii="Times New Roman" w:hAnsi="Times New Roman" w:cs="Times New Roman"/>
          <w:sz w:val="24"/>
          <w:szCs w:val="24"/>
        </w:rPr>
        <w:t xml:space="preserve"> però</w:t>
      </w:r>
      <w:r w:rsidR="00DC43F5" w:rsidRPr="00C4795A">
        <w:rPr>
          <w:rFonts w:ascii="Times New Roman" w:hAnsi="Times New Roman" w:cs="Times New Roman"/>
          <w:sz w:val="24"/>
          <w:szCs w:val="24"/>
        </w:rPr>
        <w:t>,</w:t>
      </w:r>
      <w:r w:rsidRPr="00C4795A">
        <w:rPr>
          <w:rFonts w:ascii="Times New Roman" w:hAnsi="Times New Roman" w:cs="Times New Roman"/>
          <w:sz w:val="24"/>
          <w:szCs w:val="24"/>
        </w:rPr>
        <w:t xml:space="preserve"> una qualche ragione anche gli studiosi di diritto europeo quando affermano che percorrere la via del sindacato accentrato sospendendo la disapplicazione del diritto unionale vuol dire rinunciare</w:t>
      </w:r>
      <w:r w:rsidR="006F195F" w:rsidRPr="00C4795A">
        <w:rPr>
          <w:rFonts w:ascii="Times New Roman" w:hAnsi="Times New Roman" w:cs="Times New Roman"/>
          <w:sz w:val="24"/>
          <w:szCs w:val="24"/>
        </w:rPr>
        <w:t>,</w:t>
      </w:r>
      <w:r w:rsidRPr="00C4795A">
        <w:rPr>
          <w:rFonts w:ascii="Times New Roman" w:hAnsi="Times New Roman" w:cs="Times New Roman"/>
          <w:sz w:val="24"/>
          <w:szCs w:val="24"/>
        </w:rPr>
        <w:t xml:space="preserve"> contemporaneamente</w:t>
      </w:r>
      <w:r w:rsidR="006F195F" w:rsidRPr="00C4795A">
        <w:rPr>
          <w:rFonts w:ascii="Times New Roman" w:hAnsi="Times New Roman" w:cs="Times New Roman"/>
          <w:sz w:val="24"/>
          <w:szCs w:val="24"/>
        </w:rPr>
        <w:t>,</w:t>
      </w:r>
      <w:r w:rsidRPr="00C4795A">
        <w:rPr>
          <w:rFonts w:ascii="Times New Roman" w:hAnsi="Times New Roman" w:cs="Times New Roman"/>
          <w:sz w:val="24"/>
          <w:szCs w:val="24"/>
        </w:rPr>
        <w:t xml:space="preserve"> all</w:t>
      </w:r>
      <w:r w:rsidR="006F195F" w:rsidRPr="00C4795A">
        <w:rPr>
          <w:rFonts w:ascii="Times New Roman" w:hAnsi="Times New Roman" w:cs="Times New Roman"/>
          <w:sz w:val="24"/>
          <w:szCs w:val="24"/>
        </w:rPr>
        <w:t>’</w:t>
      </w:r>
      <w:r w:rsidRPr="00C4795A">
        <w:rPr>
          <w:rFonts w:ascii="Times New Roman" w:hAnsi="Times New Roman" w:cs="Times New Roman"/>
          <w:sz w:val="24"/>
          <w:szCs w:val="24"/>
        </w:rPr>
        <w:t>immediatezza nella tutela dei diritti di matrice unionale e all’uniforme applicazione del diritto dell’Unione nei confronti degli Stati</w:t>
      </w:r>
      <w:r w:rsidRPr="00C4795A">
        <w:rPr>
          <w:rStyle w:val="Rimandonotaapidipagina"/>
          <w:rFonts w:ascii="Times New Roman" w:hAnsi="Times New Roman" w:cs="Times New Roman"/>
          <w:sz w:val="24"/>
          <w:szCs w:val="24"/>
        </w:rPr>
        <w:footnoteReference w:id="53"/>
      </w:r>
      <w:r w:rsidRPr="00C4795A">
        <w:rPr>
          <w:rFonts w:ascii="Times New Roman" w:hAnsi="Times New Roman" w:cs="Times New Roman"/>
          <w:sz w:val="24"/>
          <w:szCs w:val="24"/>
        </w:rPr>
        <w:t>; e non</w:t>
      </w:r>
      <w:r w:rsidR="005252A0" w:rsidRPr="00C4795A">
        <w:rPr>
          <w:rFonts w:ascii="Times New Roman" w:hAnsi="Times New Roman" w:cs="Times New Roman"/>
          <w:sz w:val="24"/>
          <w:szCs w:val="24"/>
        </w:rPr>
        <w:t xml:space="preserve"> ha</w:t>
      </w:r>
      <w:r w:rsidRPr="00C4795A">
        <w:rPr>
          <w:rFonts w:ascii="Times New Roman" w:hAnsi="Times New Roman" w:cs="Times New Roman"/>
          <w:sz w:val="24"/>
          <w:szCs w:val="24"/>
        </w:rPr>
        <w:t xml:space="preserve"> torto neppure chi rileva che la sospensione o il differimento della protezione dei diritti assicurata dalla diretta disapplicazione contrasta frontalmente con i significati che la giurisprudenza di Lussemburgo riconduce da tempo al primato del diritto UE</w:t>
      </w:r>
      <w:r w:rsidRPr="00C4795A">
        <w:rPr>
          <w:rStyle w:val="Rimandonotaapidipagina"/>
          <w:rFonts w:ascii="Times New Roman" w:hAnsi="Times New Roman" w:cs="Times New Roman"/>
          <w:sz w:val="24"/>
          <w:szCs w:val="24"/>
        </w:rPr>
        <w:footnoteReference w:id="54"/>
      </w:r>
      <w:r w:rsidRPr="00C4795A">
        <w:rPr>
          <w:rFonts w:ascii="Times New Roman" w:hAnsi="Times New Roman" w:cs="Times New Roman"/>
          <w:sz w:val="24"/>
          <w:szCs w:val="24"/>
        </w:rPr>
        <w:t xml:space="preserve">. La sentenza </w:t>
      </w:r>
      <w:r w:rsidRPr="00C4795A">
        <w:rPr>
          <w:rFonts w:ascii="Times New Roman" w:hAnsi="Times New Roman" w:cs="Times New Roman"/>
          <w:i/>
          <w:iCs/>
          <w:sz w:val="24"/>
          <w:szCs w:val="24"/>
        </w:rPr>
        <w:t>RS</w:t>
      </w:r>
      <w:r w:rsidR="00E13695" w:rsidRPr="00C4795A">
        <w:rPr>
          <w:rFonts w:ascii="Times New Roman" w:hAnsi="Times New Roman" w:cs="Times New Roman"/>
          <w:sz w:val="24"/>
          <w:szCs w:val="24"/>
        </w:rPr>
        <w:t>,</w:t>
      </w:r>
      <w:r w:rsidR="005252A0" w:rsidRPr="00C4795A">
        <w:rPr>
          <w:rFonts w:ascii="Times New Roman" w:hAnsi="Times New Roman" w:cs="Times New Roman"/>
          <w:sz w:val="24"/>
          <w:szCs w:val="24"/>
        </w:rPr>
        <w:t xml:space="preserve"> nel</w:t>
      </w:r>
      <w:r w:rsidRPr="00C4795A">
        <w:rPr>
          <w:rFonts w:ascii="Times New Roman" w:hAnsi="Times New Roman" w:cs="Times New Roman"/>
          <w:sz w:val="24"/>
          <w:szCs w:val="24"/>
        </w:rPr>
        <w:t xml:space="preserve"> punto 53</w:t>
      </w:r>
      <w:r w:rsidR="00E13695" w:rsidRPr="00C4795A">
        <w:rPr>
          <w:rFonts w:ascii="Times New Roman" w:hAnsi="Times New Roman" w:cs="Times New Roman"/>
          <w:sz w:val="24"/>
          <w:szCs w:val="24"/>
        </w:rPr>
        <w:t>,</w:t>
      </w:r>
      <w:r w:rsidRPr="00C4795A">
        <w:rPr>
          <w:rFonts w:ascii="Times New Roman" w:hAnsi="Times New Roman" w:cs="Times New Roman"/>
          <w:sz w:val="24"/>
          <w:szCs w:val="24"/>
        </w:rPr>
        <w:t xml:space="preserve"> è limpidissima al riguardo</w:t>
      </w:r>
      <w:r w:rsidR="00B91D2C" w:rsidRPr="00C4795A">
        <w:rPr>
          <w:rFonts w:ascii="Times New Roman" w:hAnsi="Times New Roman" w:cs="Times New Roman"/>
          <w:sz w:val="24"/>
          <w:szCs w:val="24"/>
        </w:rPr>
        <w:t>,</w:t>
      </w:r>
      <w:r w:rsidR="00FE5759" w:rsidRPr="00C4795A">
        <w:rPr>
          <w:rFonts w:ascii="Times New Roman" w:hAnsi="Times New Roman" w:cs="Times New Roman"/>
          <w:sz w:val="24"/>
          <w:szCs w:val="24"/>
        </w:rPr>
        <w:t xml:space="preserve"> nella parte in cui precisa che la portata della primazia del diritto unionale «non può dipendere dall’interpretazione di disposizioni del diritto nazionale, né dall’interpretazione di </w:t>
      </w:r>
      <w:r w:rsidR="00FE5759" w:rsidRPr="00C4795A">
        <w:rPr>
          <w:rFonts w:ascii="Times New Roman" w:hAnsi="Times New Roman" w:cs="Times New Roman"/>
          <w:sz w:val="24"/>
          <w:szCs w:val="24"/>
        </w:rPr>
        <w:lastRenderedPageBreak/>
        <w:t xml:space="preserve">disposizioni del diritto dell’Unione seguita da un giudice nazionale </w:t>
      </w:r>
      <w:r w:rsidR="00FE5759" w:rsidRPr="00C4795A">
        <w:rPr>
          <w:rFonts w:ascii="Times New Roman" w:hAnsi="Times New Roman" w:cs="Times New Roman"/>
          <w:i/>
          <w:iCs/>
          <w:sz w:val="24"/>
          <w:szCs w:val="24"/>
        </w:rPr>
        <w:t xml:space="preserve">(compreso il giudice costituzionale) </w:t>
      </w:r>
      <w:r w:rsidR="00FE5759" w:rsidRPr="00C4795A">
        <w:rPr>
          <w:rFonts w:ascii="Times New Roman" w:hAnsi="Times New Roman" w:cs="Times New Roman"/>
          <w:sz w:val="24"/>
          <w:szCs w:val="24"/>
        </w:rPr>
        <w:t>che non corrisponda a quella della Corte»</w:t>
      </w:r>
      <w:r w:rsidR="00FE5759" w:rsidRPr="00C4795A">
        <w:rPr>
          <w:rStyle w:val="Rimandonotaapidipagina"/>
          <w:rFonts w:ascii="Times New Roman" w:hAnsi="Times New Roman" w:cs="Times New Roman"/>
          <w:sz w:val="24"/>
          <w:szCs w:val="24"/>
        </w:rPr>
        <w:footnoteReference w:id="55"/>
      </w:r>
      <w:r w:rsidR="00FE5759" w:rsidRPr="00C4795A">
        <w:rPr>
          <w:rFonts w:ascii="Times New Roman" w:hAnsi="Times New Roman" w:cs="Times New Roman"/>
          <w:sz w:val="24"/>
          <w:szCs w:val="24"/>
        </w:rPr>
        <w:t>.</w:t>
      </w:r>
    </w:p>
    <w:p w14:paraId="091ED42F" w14:textId="0F232B13" w:rsidR="00B02BDF" w:rsidRPr="00C4795A" w:rsidRDefault="006E0AF0" w:rsidP="006E0AF0">
      <w:pPr>
        <w:spacing w:line="250" w:lineRule="atLeast"/>
        <w:jc w:val="both"/>
        <w:rPr>
          <w:rFonts w:ascii="Times New Roman" w:eastAsia="Times New Roman" w:hAnsi="Times New Roman" w:cs="Times New Roman"/>
          <w:kern w:val="0"/>
          <w:sz w:val="24"/>
          <w:szCs w:val="24"/>
          <w:lang w:eastAsia="it-IT"/>
          <w14:ligatures w14:val="none"/>
        </w:rPr>
      </w:pPr>
      <w:r w:rsidRPr="00C4795A">
        <w:rPr>
          <w:rFonts w:ascii="Times New Roman" w:hAnsi="Times New Roman" w:cs="Times New Roman"/>
          <w:sz w:val="24"/>
          <w:szCs w:val="24"/>
        </w:rPr>
        <w:t xml:space="preserve">Hanno tutti ragione, dunque, e stretto fra queste opposte ragioni </w:t>
      </w:r>
      <w:r w:rsidRPr="00C4795A">
        <w:rPr>
          <w:rFonts w:ascii="Times New Roman" w:eastAsia="Times New Roman" w:hAnsi="Times New Roman" w:cs="Times New Roman"/>
          <w:kern w:val="0"/>
          <w:sz w:val="24"/>
          <w:szCs w:val="24"/>
          <w:lang w:eastAsia="it-IT"/>
          <w14:ligatures w14:val="none"/>
        </w:rPr>
        <w:t xml:space="preserve">il giudice comune viene lasciato nella scomoda posizione di dover necessariamente sacrificare qualcosa: con la scelta di sollevare la </w:t>
      </w:r>
      <w:r w:rsidRPr="00C4795A">
        <w:rPr>
          <w:rFonts w:ascii="Times New Roman" w:eastAsia="Times New Roman" w:hAnsi="Times New Roman" w:cs="Times New Roman"/>
          <w:i/>
          <w:iCs/>
          <w:kern w:val="0"/>
          <w:sz w:val="24"/>
          <w:szCs w:val="24"/>
          <w:lang w:eastAsia="it-IT"/>
          <w14:ligatures w14:val="none"/>
        </w:rPr>
        <w:t>quaestio</w:t>
      </w:r>
      <w:r w:rsidRPr="00C4795A">
        <w:rPr>
          <w:rFonts w:ascii="Times New Roman" w:eastAsia="Times New Roman" w:hAnsi="Times New Roman" w:cs="Times New Roman"/>
          <w:kern w:val="0"/>
          <w:sz w:val="24"/>
          <w:szCs w:val="24"/>
          <w:lang w:eastAsia="it-IT"/>
          <w14:ligatures w14:val="none"/>
        </w:rPr>
        <w:t>, vanifica il principio della disapplicazione immediata (che è componente essenziale del primato del diritto UE); con l’opzione per il percorso unionale compromette la certezza del diritto, il principio di eguaglianza e, più comprensivamente, i valori che ho sinteticamente ricondotto nel</w:t>
      </w:r>
      <w:r w:rsidR="005A71B2" w:rsidRPr="00C4795A">
        <w:rPr>
          <w:rFonts w:ascii="Times New Roman" w:eastAsia="Times New Roman" w:hAnsi="Times New Roman" w:cs="Times New Roman"/>
          <w:kern w:val="0"/>
          <w:sz w:val="24"/>
          <w:szCs w:val="24"/>
          <w:lang w:eastAsia="it-IT"/>
          <w14:ligatures w14:val="none"/>
        </w:rPr>
        <w:t xml:space="preserve"> prologo </w:t>
      </w:r>
      <w:r w:rsidRPr="00C4795A">
        <w:rPr>
          <w:rFonts w:ascii="Times New Roman" w:eastAsia="Times New Roman" w:hAnsi="Times New Roman" w:cs="Times New Roman"/>
          <w:kern w:val="0"/>
          <w:sz w:val="24"/>
          <w:szCs w:val="24"/>
          <w:lang w:eastAsia="it-IT"/>
          <w14:ligatures w14:val="none"/>
        </w:rPr>
        <w:t xml:space="preserve">al principio supremo che pone il </w:t>
      </w:r>
      <w:r w:rsidR="00817FA5" w:rsidRPr="00C4795A">
        <w:rPr>
          <w:rFonts w:ascii="Times New Roman" w:eastAsia="Times New Roman" w:hAnsi="Times New Roman" w:cs="Times New Roman"/>
          <w:kern w:val="0"/>
          <w:sz w:val="24"/>
          <w:szCs w:val="24"/>
          <w:lang w:eastAsia="it-IT"/>
          <w14:ligatures w14:val="none"/>
        </w:rPr>
        <w:t>sindacato accentrato quale presidio infungibile per garantire l’equilibrio fra politica e giurisdizione nell’inveramento dei diritti fondamentali</w:t>
      </w:r>
      <w:r w:rsidRPr="00C4795A">
        <w:rPr>
          <w:rFonts w:ascii="Times New Roman" w:eastAsia="Times New Roman" w:hAnsi="Times New Roman" w:cs="Times New Roman"/>
          <w:kern w:val="0"/>
          <w:sz w:val="24"/>
          <w:szCs w:val="24"/>
          <w:lang w:eastAsia="it-IT"/>
          <w14:ligatures w14:val="none"/>
        </w:rPr>
        <w:t xml:space="preserve">. </w:t>
      </w:r>
    </w:p>
    <w:p w14:paraId="7B6E1430" w14:textId="15FBE23F" w:rsidR="00033FB5" w:rsidRPr="00C4795A" w:rsidRDefault="00B02BDF" w:rsidP="00E13695">
      <w:pPr>
        <w:spacing w:after="0" w:line="240" w:lineRule="auto"/>
        <w:jc w:val="both"/>
        <w:rPr>
          <w:rFonts w:ascii="Times New Roman" w:eastAsia="Times New Roman" w:hAnsi="Times New Roman" w:cs="Times New Roman"/>
          <w:kern w:val="0"/>
          <w:sz w:val="24"/>
          <w:szCs w:val="24"/>
          <w:lang w:eastAsia="it-IT"/>
          <w14:ligatures w14:val="none"/>
        </w:rPr>
      </w:pPr>
      <w:r w:rsidRPr="00C4795A">
        <w:rPr>
          <w:rFonts w:ascii="Times New Roman" w:eastAsia="Times New Roman" w:hAnsi="Times New Roman" w:cs="Times New Roman"/>
          <w:kern w:val="0"/>
          <w:sz w:val="24"/>
          <w:szCs w:val="24"/>
          <w:lang w:eastAsia="it-IT"/>
          <w14:ligatures w14:val="none"/>
        </w:rPr>
        <w:t xml:space="preserve">Questo dilemma, per come viene diffusamente rappresentato nel </w:t>
      </w:r>
      <w:r w:rsidR="000E39B0" w:rsidRPr="00C4795A">
        <w:rPr>
          <w:rFonts w:ascii="Times New Roman" w:eastAsia="Times New Roman" w:hAnsi="Times New Roman" w:cs="Times New Roman"/>
          <w:kern w:val="0"/>
          <w:sz w:val="24"/>
          <w:szCs w:val="24"/>
          <w:lang w:eastAsia="it-IT"/>
          <w14:ligatures w14:val="none"/>
        </w:rPr>
        <w:t xml:space="preserve">vivacissimo </w:t>
      </w:r>
      <w:r w:rsidRPr="00C4795A">
        <w:rPr>
          <w:rFonts w:ascii="Times New Roman" w:eastAsia="Times New Roman" w:hAnsi="Times New Roman" w:cs="Times New Roman"/>
          <w:kern w:val="0"/>
          <w:sz w:val="24"/>
          <w:szCs w:val="24"/>
          <w:lang w:eastAsia="it-IT"/>
          <w14:ligatures w14:val="none"/>
        </w:rPr>
        <w:t xml:space="preserve">dibattito teorico suscitato dalla sentenza n. 181, è meno drammatico di come potrebbe </w:t>
      </w:r>
      <w:r w:rsidRPr="00C4795A">
        <w:rPr>
          <w:rFonts w:ascii="Times New Roman" w:eastAsia="Times New Roman" w:hAnsi="Times New Roman" w:cs="Times New Roman"/>
          <w:i/>
          <w:iCs/>
          <w:kern w:val="0"/>
          <w:sz w:val="24"/>
          <w:szCs w:val="24"/>
          <w:lang w:eastAsia="it-IT"/>
          <w14:ligatures w14:val="none"/>
        </w:rPr>
        <w:t xml:space="preserve">prima </w:t>
      </w:r>
      <w:proofErr w:type="spellStart"/>
      <w:r w:rsidRPr="00C4795A">
        <w:rPr>
          <w:rFonts w:ascii="Times New Roman" w:eastAsia="Times New Roman" w:hAnsi="Times New Roman" w:cs="Times New Roman"/>
          <w:i/>
          <w:iCs/>
          <w:kern w:val="0"/>
          <w:sz w:val="24"/>
          <w:szCs w:val="24"/>
          <w:lang w:eastAsia="it-IT"/>
          <w14:ligatures w14:val="none"/>
        </w:rPr>
        <w:t>facie</w:t>
      </w:r>
      <w:proofErr w:type="spellEnd"/>
      <w:r w:rsidRPr="00C4795A">
        <w:rPr>
          <w:rFonts w:ascii="Times New Roman" w:eastAsia="Times New Roman" w:hAnsi="Times New Roman" w:cs="Times New Roman"/>
          <w:kern w:val="0"/>
          <w:sz w:val="24"/>
          <w:szCs w:val="24"/>
          <w:lang w:eastAsia="it-IT"/>
          <w14:ligatures w14:val="none"/>
        </w:rPr>
        <w:t xml:space="preserve"> apparire, e comunque, può trovare adeguata ricomposizione</w:t>
      </w:r>
      <w:r w:rsidR="00C924CA" w:rsidRPr="00C4795A">
        <w:rPr>
          <w:rFonts w:ascii="Times New Roman" w:eastAsia="Times New Roman" w:hAnsi="Times New Roman" w:cs="Times New Roman"/>
          <w:kern w:val="0"/>
          <w:sz w:val="24"/>
          <w:szCs w:val="24"/>
          <w:lang w:eastAsia="it-IT"/>
          <w14:ligatures w14:val="none"/>
        </w:rPr>
        <w:t xml:space="preserve"> anche nell’ipotesi </w:t>
      </w:r>
      <w:r w:rsidR="00033FB5" w:rsidRPr="00C4795A">
        <w:rPr>
          <w:rFonts w:ascii="Times New Roman" w:eastAsia="Times New Roman" w:hAnsi="Times New Roman" w:cs="Times New Roman"/>
          <w:kern w:val="0"/>
          <w:sz w:val="24"/>
          <w:szCs w:val="24"/>
          <w:lang w:eastAsia="it-IT"/>
          <w14:ligatures w14:val="none"/>
        </w:rPr>
        <w:t xml:space="preserve">in cui la </w:t>
      </w:r>
      <w:r w:rsidR="00C924CA" w:rsidRPr="00C4795A">
        <w:rPr>
          <w:rFonts w:ascii="Times New Roman" w:eastAsia="Times New Roman" w:hAnsi="Times New Roman" w:cs="Times New Roman"/>
          <w:kern w:val="0"/>
          <w:sz w:val="24"/>
          <w:szCs w:val="24"/>
          <w:lang w:eastAsia="it-IT"/>
          <w14:ligatures w14:val="none"/>
        </w:rPr>
        <w:t xml:space="preserve">Corte di giustizia </w:t>
      </w:r>
      <w:r w:rsidR="00033FB5" w:rsidRPr="00C4795A">
        <w:rPr>
          <w:rFonts w:ascii="Times New Roman" w:eastAsia="Times New Roman" w:hAnsi="Times New Roman" w:cs="Times New Roman"/>
          <w:kern w:val="0"/>
          <w:sz w:val="24"/>
          <w:szCs w:val="24"/>
          <w:lang w:eastAsia="it-IT"/>
          <w14:ligatures w14:val="none"/>
        </w:rPr>
        <w:t xml:space="preserve">si irrigidisca </w:t>
      </w:r>
      <w:r w:rsidR="00C924CA" w:rsidRPr="00C4795A">
        <w:rPr>
          <w:rFonts w:ascii="Times New Roman" w:eastAsia="Times New Roman" w:hAnsi="Times New Roman" w:cs="Times New Roman"/>
          <w:kern w:val="0"/>
          <w:sz w:val="24"/>
          <w:szCs w:val="24"/>
          <w:lang w:eastAsia="it-IT"/>
          <w14:ligatures w14:val="none"/>
        </w:rPr>
        <w:t>su una posizione intransigente</w:t>
      </w:r>
      <w:r w:rsidRPr="00C4795A">
        <w:rPr>
          <w:rFonts w:ascii="Times New Roman" w:eastAsia="Times New Roman" w:hAnsi="Times New Roman" w:cs="Times New Roman"/>
          <w:kern w:val="0"/>
          <w:sz w:val="24"/>
          <w:szCs w:val="24"/>
          <w:lang w:eastAsia="it-IT"/>
          <w14:ligatures w14:val="none"/>
        </w:rPr>
        <w:t xml:space="preserve">, come proveremo ad argomentare di seguito. </w:t>
      </w:r>
    </w:p>
    <w:p w14:paraId="50DD953B" w14:textId="486E751F" w:rsidR="00C924CA" w:rsidRPr="00C4795A" w:rsidRDefault="00B02BDF" w:rsidP="00E13695">
      <w:pPr>
        <w:spacing w:after="0" w:line="240" w:lineRule="auto"/>
        <w:jc w:val="both"/>
        <w:rPr>
          <w:rFonts w:ascii="Times New Roman" w:eastAsia="Times New Roman" w:hAnsi="Times New Roman" w:cs="Times New Roman"/>
          <w:kern w:val="0"/>
          <w:sz w:val="24"/>
          <w:szCs w:val="24"/>
          <w:lang w:eastAsia="it-IT"/>
          <w14:ligatures w14:val="none"/>
        </w:rPr>
      </w:pPr>
      <w:r w:rsidRPr="00C4795A">
        <w:rPr>
          <w:rFonts w:ascii="Times New Roman" w:eastAsia="Times New Roman" w:hAnsi="Times New Roman" w:cs="Times New Roman"/>
          <w:kern w:val="0"/>
          <w:sz w:val="24"/>
          <w:szCs w:val="24"/>
          <w:lang w:eastAsia="it-IT"/>
          <w14:ligatures w14:val="none"/>
        </w:rPr>
        <w:t xml:space="preserve">Prima, però, è utile sottoporre a una prova di resistenza la tesi che vede nella ‘ritardata’ tutela </w:t>
      </w:r>
      <w:r w:rsidR="000E39B0" w:rsidRPr="00C4795A">
        <w:rPr>
          <w:rFonts w:ascii="Times New Roman" w:eastAsia="Times New Roman" w:hAnsi="Times New Roman" w:cs="Times New Roman"/>
          <w:kern w:val="0"/>
          <w:sz w:val="24"/>
          <w:szCs w:val="24"/>
          <w:lang w:eastAsia="it-IT"/>
          <w14:ligatures w14:val="none"/>
        </w:rPr>
        <w:t>dei diritti</w:t>
      </w:r>
      <w:r w:rsidRPr="00C4795A">
        <w:rPr>
          <w:rFonts w:ascii="Times New Roman" w:eastAsia="Times New Roman" w:hAnsi="Times New Roman" w:cs="Times New Roman"/>
          <w:kern w:val="0"/>
          <w:sz w:val="24"/>
          <w:szCs w:val="24"/>
          <w:lang w:eastAsia="it-IT"/>
          <w14:ligatures w14:val="none"/>
        </w:rPr>
        <w:t xml:space="preserve"> il tallone d’Achille della Corte costituzionale</w:t>
      </w:r>
      <w:r w:rsidR="00C924CA" w:rsidRPr="00C4795A">
        <w:rPr>
          <w:rFonts w:ascii="Times New Roman" w:eastAsia="Times New Roman" w:hAnsi="Times New Roman" w:cs="Times New Roman"/>
          <w:kern w:val="0"/>
          <w:sz w:val="24"/>
          <w:szCs w:val="24"/>
          <w:lang w:eastAsia="it-IT"/>
          <w14:ligatures w14:val="none"/>
        </w:rPr>
        <w:t xml:space="preserve">, che per questo profilo sarebbe sistematicamente in svantaggio rispetto al </w:t>
      </w:r>
      <w:r w:rsidR="00E02EAD" w:rsidRPr="00C4795A">
        <w:rPr>
          <w:rFonts w:ascii="Times New Roman" w:eastAsia="Times New Roman" w:hAnsi="Times New Roman" w:cs="Times New Roman"/>
          <w:kern w:val="0"/>
          <w:sz w:val="24"/>
          <w:szCs w:val="24"/>
          <w:lang w:eastAsia="it-IT"/>
          <w14:ligatures w14:val="none"/>
        </w:rPr>
        <w:t>giudice comune</w:t>
      </w:r>
      <w:r w:rsidRPr="00C4795A">
        <w:rPr>
          <w:rFonts w:ascii="Times New Roman" w:eastAsia="Times New Roman" w:hAnsi="Times New Roman" w:cs="Times New Roman"/>
          <w:kern w:val="0"/>
          <w:sz w:val="24"/>
          <w:szCs w:val="24"/>
          <w:lang w:eastAsia="it-IT"/>
          <w14:ligatures w14:val="none"/>
        </w:rPr>
        <w:t>. È davvero così?</w:t>
      </w:r>
    </w:p>
    <w:p w14:paraId="782AADC6" w14:textId="563B4A64" w:rsidR="00E13695" w:rsidRPr="00C4795A" w:rsidRDefault="00B02BDF" w:rsidP="009F146B">
      <w:pPr>
        <w:spacing w:after="0" w:line="240" w:lineRule="auto"/>
        <w:jc w:val="both"/>
        <w:rPr>
          <w:rFonts w:ascii="Times New Roman" w:hAnsi="Times New Roman" w:cs="Times New Roman"/>
          <w:sz w:val="24"/>
          <w:szCs w:val="24"/>
        </w:rPr>
      </w:pPr>
      <w:r w:rsidRPr="00C4795A">
        <w:rPr>
          <w:rFonts w:ascii="Times New Roman" w:hAnsi="Times New Roman" w:cs="Times New Roman"/>
          <w:sz w:val="24"/>
          <w:szCs w:val="24"/>
        </w:rPr>
        <w:t xml:space="preserve">A ben riflettere, gli aggravi temporali connessi all’incidente di costituzionalità sono da circoscrivere allo </w:t>
      </w:r>
      <w:r w:rsidRPr="00C4795A">
        <w:rPr>
          <w:rFonts w:ascii="Times New Roman" w:hAnsi="Times New Roman" w:cs="Times New Roman"/>
          <w:i/>
          <w:iCs/>
          <w:sz w:val="24"/>
          <w:szCs w:val="24"/>
        </w:rPr>
        <w:t>spatium temporis</w:t>
      </w:r>
      <w:r w:rsidRPr="00C4795A">
        <w:rPr>
          <w:rFonts w:ascii="Times New Roman" w:hAnsi="Times New Roman" w:cs="Times New Roman"/>
          <w:sz w:val="24"/>
          <w:szCs w:val="24"/>
        </w:rPr>
        <w:t xml:space="preserve"> intercorrente tra l’ordinanza di rimessione e il deposito della sentenza costituzionale. Un arco temporale di poco superiore a </w:t>
      </w:r>
      <w:proofErr w:type="gramStart"/>
      <w:r w:rsidRPr="00C4795A">
        <w:rPr>
          <w:rFonts w:ascii="Times New Roman" w:hAnsi="Times New Roman" w:cs="Times New Roman"/>
          <w:sz w:val="24"/>
          <w:szCs w:val="24"/>
        </w:rPr>
        <w:t>6</w:t>
      </w:r>
      <w:proofErr w:type="gramEnd"/>
      <w:r w:rsidRPr="00C4795A">
        <w:rPr>
          <w:rFonts w:ascii="Times New Roman" w:hAnsi="Times New Roman" w:cs="Times New Roman"/>
          <w:sz w:val="24"/>
          <w:szCs w:val="24"/>
        </w:rPr>
        <w:t xml:space="preserve"> mesi</w:t>
      </w:r>
      <w:r w:rsidR="00E13695" w:rsidRPr="00C4795A">
        <w:rPr>
          <w:rStyle w:val="Rimandonotaapidipagina"/>
          <w:rFonts w:ascii="Times New Roman" w:hAnsi="Times New Roman" w:cs="Times New Roman"/>
          <w:sz w:val="24"/>
          <w:szCs w:val="24"/>
        </w:rPr>
        <w:footnoteReference w:id="56"/>
      </w:r>
      <w:r w:rsidR="00A8360D" w:rsidRPr="00C4795A">
        <w:rPr>
          <w:rFonts w:ascii="Times New Roman" w:hAnsi="Times New Roman" w:cs="Times New Roman"/>
          <w:sz w:val="24"/>
          <w:szCs w:val="24"/>
        </w:rPr>
        <w:t xml:space="preserve"> e </w:t>
      </w:r>
      <w:r w:rsidR="002E70AA" w:rsidRPr="00C4795A">
        <w:rPr>
          <w:rFonts w:ascii="Times New Roman" w:hAnsi="Times New Roman" w:cs="Times New Roman"/>
          <w:sz w:val="24"/>
          <w:szCs w:val="24"/>
        </w:rPr>
        <w:t>assai</w:t>
      </w:r>
      <w:r w:rsidRPr="00C4795A">
        <w:rPr>
          <w:rFonts w:ascii="Times New Roman" w:hAnsi="Times New Roman" w:cs="Times New Roman"/>
          <w:sz w:val="24"/>
          <w:szCs w:val="24"/>
        </w:rPr>
        <w:t xml:space="preserve"> più breve </w:t>
      </w:r>
      <w:r w:rsidR="00A8360D" w:rsidRPr="00C4795A">
        <w:rPr>
          <w:rFonts w:ascii="Times New Roman" w:hAnsi="Times New Roman" w:cs="Times New Roman"/>
          <w:sz w:val="24"/>
          <w:szCs w:val="24"/>
        </w:rPr>
        <w:t xml:space="preserve">di quello richiesto dal </w:t>
      </w:r>
      <w:r w:rsidRPr="00C4795A">
        <w:rPr>
          <w:rFonts w:ascii="Times New Roman" w:hAnsi="Times New Roman" w:cs="Times New Roman"/>
          <w:sz w:val="24"/>
          <w:szCs w:val="24"/>
        </w:rPr>
        <w:t>procedimento pregiudiziale instaurato a Lussemburgo</w:t>
      </w:r>
      <w:r w:rsidR="00A8360D" w:rsidRPr="00C4795A">
        <w:rPr>
          <w:rFonts w:ascii="Times New Roman" w:hAnsi="Times New Roman" w:cs="Times New Roman"/>
          <w:sz w:val="24"/>
          <w:szCs w:val="24"/>
        </w:rPr>
        <w:t xml:space="preserve">, che si </w:t>
      </w:r>
      <w:r w:rsidR="00E13695" w:rsidRPr="00C4795A">
        <w:rPr>
          <w:rFonts w:ascii="Times New Roman" w:hAnsi="Times New Roman" w:cs="Times New Roman"/>
          <w:sz w:val="24"/>
          <w:szCs w:val="24"/>
        </w:rPr>
        <w:t>protra</w:t>
      </w:r>
      <w:r w:rsidR="00A8360D" w:rsidRPr="00C4795A">
        <w:rPr>
          <w:rFonts w:ascii="Times New Roman" w:hAnsi="Times New Roman" w:cs="Times New Roman"/>
          <w:sz w:val="24"/>
          <w:szCs w:val="24"/>
        </w:rPr>
        <w:t>e</w:t>
      </w:r>
      <w:r w:rsidR="00E13695" w:rsidRPr="00C4795A">
        <w:rPr>
          <w:rFonts w:ascii="Times New Roman" w:hAnsi="Times New Roman" w:cs="Times New Roman"/>
          <w:sz w:val="24"/>
          <w:szCs w:val="24"/>
        </w:rPr>
        <w:t xml:space="preserve"> mediamente per sedici-diciotto mesi</w:t>
      </w:r>
      <w:r w:rsidR="00E13695" w:rsidRPr="00C4795A">
        <w:rPr>
          <w:rStyle w:val="Rimandonotaapidipagina"/>
          <w:rFonts w:ascii="Times New Roman" w:hAnsi="Times New Roman" w:cs="Times New Roman"/>
          <w:sz w:val="24"/>
          <w:szCs w:val="24"/>
        </w:rPr>
        <w:footnoteReference w:id="57"/>
      </w:r>
      <w:r w:rsidRPr="00C4795A">
        <w:rPr>
          <w:rFonts w:ascii="Times New Roman" w:hAnsi="Times New Roman" w:cs="Times New Roman"/>
          <w:sz w:val="24"/>
          <w:szCs w:val="24"/>
        </w:rPr>
        <w:t xml:space="preserve">. Se questo termine eccezionalmente breve si confronta con la durata media dei giudizi comuni nei quali vengono in gioco ipotesi di incompatibilità comunitaria </w:t>
      </w:r>
      <w:r w:rsidR="002E70AA" w:rsidRPr="00C4795A">
        <w:rPr>
          <w:rFonts w:ascii="Times New Roman" w:hAnsi="Times New Roman" w:cs="Times New Roman"/>
          <w:sz w:val="24"/>
          <w:szCs w:val="24"/>
        </w:rPr>
        <w:t>(</w:t>
      </w:r>
      <w:r w:rsidRPr="00C4795A">
        <w:rPr>
          <w:rFonts w:ascii="Times New Roman" w:hAnsi="Times New Roman" w:cs="Times New Roman"/>
          <w:sz w:val="24"/>
          <w:szCs w:val="24"/>
        </w:rPr>
        <w:t>e dunque di disapplicazione</w:t>
      </w:r>
      <w:r w:rsidR="002E70AA" w:rsidRPr="00C4795A">
        <w:rPr>
          <w:rFonts w:ascii="Times New Roman" w:hAnsi="Times New Roman" w:cs="Times New Roman"/>
          <w:sz w:val="24"/>
          <w:szCs w:val="24"/>
        </w:rPr>
        <w:t xml:space="preserve"> </w:t>
      </w:r>
      <w:r w:rsidR="002E70AA" w:rsidRPr="00C4795A">
        <w:rPr>
          <w:rFonts w:ascii="Times New Roman" w:hAnsi="Times New Roman" w:cs="Times New Roman"/>
          <w:i/>
          <w:iCs/>
          <w:sz w:val="24"/>
          <w:szCs w:val="24"/>
        </w:rPr>
        <w:t>inter partes</w:t>
      </w:r>
      <w:r w:rsidR="002E70AA" w:rsidRPr="00C4795A">
        <w:rPr>
          <w:rFonts w:ascii="Times New Roman" w:hAnsi="Times New Roman" w:cs="Times New Roman"/>
          <w:sz w:val="24"/>
          <w:szCs w:val="24"/>
        </w:rPr>
        <w:t>)</w:t>
      </w:r>
      <w:r w:rsidRPr="00C4795A">
        <w:rPr>
          <w:rFonts w:ascii="Times New Roman" w:hAnsi="Times New Roman" w:cs="Times New Roman"/>
          <w:sz w:val="24"/>
          <w:szCs w:val="24"/>
        </w:rPr>
        <w:t>, è da chiedersi se</w:t>
      </w:r>
      <w:r w:rsidR="002E70AA" w:rsidRPr="00C4795A">
        <w:rPr>
          <w:rFonts w:ascii="Times New Roman" w:hAnsi="Times New Roman" w:cs="Times New Roman"/>
          <w:sz w:val="24"/>
          <w:szCs w:val="24"/>
        </w:rPr>
        <w:t xml:space="preserve"> </w:t>
      </w:r>
      <w:r w:rsidRPr="00C4795A">
        <w:rPr>
          <w:rFonts w:ascii="Times New Roman" w:hAnsi="Times New Roman" w:cs="Times New Roman"/>
          <w:sz w:val="24"/>
          <w:szCs w:val="24"/>
        </w:rPr>
        <w:t xml:space="preserve">possa essere davvero un intervallo così contenuto a infliggere un </w:t>
      </w:r>
      <w:r w:rsidRPr="00C4795A">
        <w:rPr>
          <w:rFonts w:ascii="Times New Roman" w:hAnsi="Times New Roman" w:cs="Times New Roman"/>
          <w:i/>
          <w:iCs/>
          <w:sz w:val="24"/>
          <w:szCs w:val="24"/>
        </w:rPr>
        <w:t>vulnus</w:t>
      </w:r>
      <w:r w:rsidRPr="00C4795A">
        <w:rPr>
          <w:rFonts w:ascii="Times New Roman" w:hAnsi="Times New Roman" w:cs="Times New Roman"/>
          <w:sz w:val="24"/>
          <w:szCs w:val="24"/>
        </w:rPr>
        <w:t xml:space="preserve"> </w:t>
      </w:r>
      <w:r w:rsidR="002E70AA" w:rsidRPr="00C4795A">
        <w:rPr>
          <w:rFonts w:ascii="Times New Roman" w:hAnsi="Times New Roman" w:cs="Times New Roman"/>
          <w:sz w:val="24"/>
          <w:szCs w:val="24"/>
        </w:rPr>
        <w:t xml:space="preserve">insanabile </w:t>
      </w:r>
      <w:r w:rsidRPr="00C4795A">
        <w:rPr>
          <w:rFonts w:ascii="Times New Roman" w:hAnsi="Times New Roman" w:cs="Times New Roman"/>
          <w:sz w:val="24"/>
          <w:szCs w:val="24"/>
        </w:rPr>
        <w:t>alla tutela delle parti</w:t>
      </w:r>
      <w:r w:rsidR="002E70AA" w:rsidRPr="00C4795A">
        <w:rPr>
          <w:rFonts w:ascii="Times New Roman" w:hAnsi="Times New Roman" w:cs="Times New Roman"/>
          <w:sz w:val="24"/>
          <w:szCs w:val="24"/>
        </w:rPr>
        <w:t xml:space="preserve"> o se invece, nella logica del processo e dei suoi tempi, il lieve differimento imposto dall’interpello della Corte non sia ragionevole e proporzionato in relazione ai beni che </w:t>
      </w:r>
      <w:r w:rsidR="00095188" w:rsidRPr="00C4795A">
        <w:rPr>
          <w:rFonts w:ascii="Times New Roman" w:hAnsi="Times New Roman" w:cs="Times New Roman"/>
          <w:sz w:val="24"/>
          <w:szCs w:val="24"/>
        </w:rPr>
        <w:t xml:space="preserve">è diretto a </w:t>
      </w:r>
      <w:r w:rsidR="002E70AA" w:rsidRPr="00C4795A">
        <w:rPr>
          <w:rFonts w:ascii="Times New Roman" w:hAnsi="Times New Roman" w:cs="Times New Roman"/>
          <w:sz w:val="24"/>
          <w:szCs w:val="24"/>
        </w:rPr>
        <w:t>tutela</w:t>
      </w:r>
      <w:r w:rsidR="00095188" w:rsidRPr="00C4795A">
        <w:rPr>
          <w:rFonts w:ascii="Times New Roman" w:hAnsi="Times New Roman" w:cs="Times New Roman"/>
          <w:sz w:val="24"/>
          <w:szCs w:val="24"/>
        </w:rPr>
        <w:t>re</w:t>
      </w:r>
      <w:r w:rsidR="002E70AA" w:rsidRPr="00C4795A">
        <w:rPr>
          <w:rFonts w:ascii="Times New Roman" w:hAnsi="Times New Roman" w:cs="Times New Roman"/>
          <w:sz w:val="24"/>
          <w:szCs w:val="24"/>
        </w:rPr>
        <w:t>.</w:t>
      </w:r>
    </w:p>
    <w:p w14:paraId="3D7114D9" w14:textId="2040DFB6" w:rsidR="002E70AA" w:rsidRPr="00C4795A" w:rsidRDefault="00033FB5" w:rsidP="00E13695">
      <w:pPr>
        <w:spacing w:after="0"/>
        <w:jc w:val="both"/>
        <w:rPr>
          <w:rFonts w:ascii="Times New Roman" w:hAnsi="Times New Roman" w:cs="Times New Roman"/>
          <w:sz w:val="24"/>
          <w:szCs w:val="24"/>
        </w:rPr>
      </w:pPr>
      <w:r w:rsidRPr="00C4795A">
        <w:rPr>
          <w:rFonts w:ascii="Times New Roman" w:hAnsi="Times New Roman" w:cs="Times New Roman"/>
          <w:sz w:val="24"/>
          <w:szCs w:val="24"/>
        </w:rPr>
        <w:t>Vole</w:t>
      </w:r>
      <w:r w:rsidR="002E70AA" w:rsidRPr="00C4795A">
        <w:rPr>
          <w:rFonts w:ascii="Times New Roman" w:hAnsi="Times New Roman" w:cs="Times New Roman"/>
          <w:sz w:val="24"/>
          <w:szCs w:val="24"/>
        </w:rPr>
        <w:t>ndo però fare i conti fino in fondo e senza indulgenza</w:t>
      </w:r>
      <w:r w:rsidRPr="00C4795A">
        <w:rPr>
          <w:rFonts w:ascii="Times New Roman" w:hAnsi="Times New Roman" w:cs="Times New Roman"/>
          <w:sz w:val="24"/>
          <w:szCs w:val="24"/>
        </w:rPr>
        <w:t>, in questa sede di riflessione teorica,</w:t>
      </w:r>
      <w:r w:rsidR="002E70AA" w:rsidRPr="00C4795A">
        <w:rPr>
          <w:rFonts w:ascii="Times New Roman" w:hAnsi="Times New Roman" w:cs="Times New Roman"/>
          <w:sz w:val="24"/>
          <w:szCs w:val="24"/>
        </w:rPr>
        <w:t xml:space="preserve"> con la giurisprudenza lussemburghese, non può non rilevarsi che </w:t>
      </w:r>
      <w:r w:rsidR="00B02BDF" w:rsidRPr="00C4795A">
        <w:rPr>
          <w:rFonts w:ascii="Times New Roman" w:hAnsi="Times New Roman" w:cs="Times New Roman"/>
          <w:sz w:val="24"/>
          <w:szCs w:val="24"/>
        </w:rPr>
        <w:t xml:space="preserve">la rigidità della </w:t>
      </w:r>
      <w:r w:rsidR="002E70AA" w:rsidRPr="00C4795A">
        <w:rPr>
          <w:rFonts w:ascii="Times New Roman" w:hAnsi="Times New Roman" w:cs="Times New Roman"/>
          <w:sz w:val="24"/>
          <w:szCs w:val="24"/>
        </w:rPr>
        <w:t xml:space="preserve">posizione assunta dalla Corte di giustizia </w:t>
      </w:r>
      <w:r w:rsidR="00B02BDF" w:rsidRPr="00C4795A">
        <w:rPr>
          <w:rFonts w:ascii="Times New Roman" w:hAnsi="Times New Roman" w:cs="Times New Roman"/>
          <w:sz w:val="24"/>
          <w:szCs w:val="24"/>
        </w:rPr>
        <w:t>sul</w:t>
      </w:r>
      <w:r w:rsidR="002E70AA" w:rsidRPr="00C4795A">
        <w:rPr>
          <w:rFonts w:ascii="Times New Roman" w:hAnsi="Times New Roman" w:cs="Times New Roman"/>
          <w:sz w:val="24"/>
          <w:szCs w:val="24"/>
        </w:rPr>
        <w:t>le ipotesi di</w:t>
      </w:r>
      <w:r w:rsidR="00B02BDF" w:rsidRPr="00C4795A">
        <w:rPr>
          <w:rFonts w:ascii="Times New Roman" w:hAnsi="Times New Roman" w:cs="Times New Roman"/>
          <w:sz w:val="24"/>
          <w:szCs w:val="24"/>
        </w:rPr>
        <w:t xml:space="preserve"> differimento della disapplicazione potrebbe </w:t>
      </w:r>
      <w:r w:rsidR="002E70AA" w:rsidRPr="00C4795A">
        <w:rPr>
          <w:rFonts w:ascii="Times New Roman" w:hAnsi="Times New Roman" w:cs="Times New Roman"/>
          <w:sz w:val="24"/>
          <w:szCs w:val="24"/>
        </w:rPr>
        <w:t>nuovamente condurla a ritenere n</w:t>
      </w:r>
      <w:r w:rsidR="00FF3EEB" w:rsidRPr="00C4795A">
        <w:rPr>
          <w:rFonts w:ascii="Times New Roman" w:hAnsi="Times New Roman" w:cs="Times New Roman"/>
          <w:sz w:val="24"/>
          <w:szCs w:val="24"/>
        </w:rPr>
        <w:t xml:space="preserve">on </w:t>
      </w:r>
      <w:r w:rsidR="00B02BDF" w:rsidRPr="00C4795A">
        <w:rPr>
          <w:rFonts w:ascii="Times New Roman" w:hAnsi="Times New Roman" w:cs="Times New Roman"/>
          <w:sz w:val="24"/>
          <w:szCs w:val="24"/>
        </w:rPr>
        <w:t xml:space="preserve">tollerabile, né fisiologico lo slittamento </w:t>
      </w:r>
      <w:r w:rsidR="002E70AA" w:rsidRPr="00C4795A">
        <w:rPr>
          <w:rFonts w:ascii="Times New Roman" w:hAnsi="Times New Roman" w:cs="Times New Roman"/>
          <w:sz w:val="24"/>
          <w:szCs w:val="24"/>
        </w:rPr>
        <w:t xml:space="preserve">– pur breve – </w:t>
      </w:r>
      <w:r w:rsidR="00B02BDF" w:rsidRPr="00C4795A">
        <w:rPr>
          <w:rFonts w:ascii="Times New Roman" w:hAnsi="Times New Roman" w:cs="Times New Roman"/>
          <w:sz w:val="24"/>
          <w:szCs w:val="24"/>
        </w:rPr>
        <w:t xml:space="preserve">prodotto dalla </w:t>
      </w:r>
      <w:r w:rsidR="002E70AA" w:rsidRPr="00C4795A">
        <w:rPr>
          <w:rFonts w:ascii="Times New Roman" w:hAnsi="Times New Roman" w:cs="Times New Roman"/>
          <w:sz w:val="24"/>
          <w:szCs w:val="24"/>
        </w:rPr>
        <w:t xml:space="preserve">pendenza della </w:t>
      </w:r>
      <w:r w:rsidR="00B02BDF" w:rsidRPr="00C4795A">
        <w:rPr>
          <w:rFonts w:ascii="Times New Roman" w:hAnsi="Times New Roman" w:cs="Times New Roman"/>
          <w:sz w:val="24"/>
          <w:szCs w:val="24"/>
        </w:rPr>
        <w:t>questione di legittimità costituzionale.</w:t>
      </w:r>
    </w:p>
    <w:p w14:paraId="56783B98" w14:textId="77777777" w:rsidR="000E39B0" w:rsidRPr="00C4795A" w:rsidRDefault="002E70AA" w:rsidP="000E39B0">
      <w:pPr>
        <w:spacing w:after="0"/>
        <w:jc w:val="both"/>
        <w:rPr>
          <w:rFonts w:ascii="Times New Roman" w:hAnsi="Times New Roman" w:cs="Times New Roman"/>
          <w:sz w:val="24"/>
          <w:szCs w:val="24"/>
        </w:rPr>
      </w:pPr>
      <w:r w:rsidRPr="00C4795A">
        <w:rPr>
          <w:rFonts w:ascii="Times New Roman" w:hAnsi="Times New Roman" w:cs="Times New Roman"/>
          <w:sz w:val="24"/>
          <w:szCs w:val="24"/>
        </w:rPr>
        <w:t>Non mancano</w:t>
      </w:r>
      <w:r w:rsidR="00033FB5" w:rsidRPr="00C4795A">
        <w:rPr>
          <w:rFonts w:ascii="Times New Roman" w:hAnsi="Times New Roman" w:cs="Times New Roman"/>
          <w:sz w:val="24"/>
          <w:szCs w:val="24"/>
        </w:rPr>
        <w:t>, invero,</w:t>
      </w:r>
      <w:r w:rsidRPr="00C4795A">
        <w:rPr>
          <w:rFonts w:ascii="Times New Roman" w:hAnsi="Times New Roman" w:cs="Times New Roman"/>
          <w:sz w:val="24"/>
          <w:szCs w:val="24"/>
        </w:rPr>
        <w:t xml:space="preserve"> soluzioni </w:t>
      </w:r>
      <w:r w:rsidR="00B02BDF" w:rsidRPr="00C4795A">
        <w:rPr>
          <w:rFonts w:ascii="Times New Roman" w:hAnsi="Times New Roman" w:cs="Times New Roman"/>
          <w:sz w:val="24"/>
          <w:szCs w:val="24"/>
        </w:rPr>
        <w:t>processuali atte a garantire congiuntamente e simultaneamente l’immediatezza della tutela e l’uniformità interpretativa.</w:t>
      </w:r>
      <w:r w:rsidR="000E39B0" w:rsidRPr="00C4795A">
        <w:rPr>
          <w:rFonts w:ascii="Times New Roman" w:hAnsi="Times New Roman" w:cs="Times New Roman"/>
          <w:sz w:val="24"/>
          <w:szCs w:val="24"/>
        </w:rPr>
        <w:t xml:space="preserve"> </w:t>
      </w:r>
      <w:r w:rsidR="00B02BDF" w:rsidRPr="00C4795A">
        <w:rPr>
          <w:rFonts w:ascii="Times New Roman" w:hAnsi="Times New Roman" w:cs="Times New Roman"/>
          <w:sz w:val="24"/>
          <w:szCs w:val="24"/>
        </w:rPr>
        <w:t xml:space="preserve">Vengono innanzi tutto in rilievo i </w:t>
      </w:r>
      <w:r w:rsidR="000E39B0" w:rsidRPr="00C4795A">
        <w:rPr>
          <w:rFonts w:ascii="Times New Roman" w:hAnsi="Times New Roman" w:cs="Times New Roman"/>
          <w:sz w:val="24"/>
          <w:szCs w:val="24"/>
        </w:rPr>
        <w:t xml:space="preserve">casi </w:t>
      </w:r>
      <w:r w:rsidR="00B02BDF" w:rsidRPr="00C4795A">
        <w:rPr>
          <w:rFonts w:ascii="Times New Roman" w:hAnsi="Times New Roman" w:cs="Times New Roman"/>
          <w:sz w:val="24"/>
          <w:szCs w:val="24"/>
        </w:rPr>
        <w:t xml:space="preserve">in cui la rimessione della </w:t>
      </w:r>
      <w:r w:rsidR="00B02BDF" w:rsidRPr="00C4795A">
        <w:rPr>
          <w:rFonts w:ascii="Times New Roman" w:hAnsi="Times New Roman" w:cs="Times New Roman"/>
          <w:i/>
          <w:iCs/>
          <w:sz w:val="24"/>
          <w:szCs w:val="24"/>
        </w:rPr>
        <w:t>quaestio</w:t>
      </w:r>
      <w:r w:rsidR="00B02BDF" w:rsidRPr="00C4795A">
        <w:rPr>
          <w:rFonts w:ascii="Times New Roman" w:hAnsi="Times New Roman" w:cs="Times New Roman"/>
          <w:sz w:val="24"/>
          <w:szCs w:val="24"/>
        </w:rPr>
        <w:t xml:space="preserve"> – al pari di altre ipotesi di sospensione del giudizio – non fa venire meno la facoltà per</w:t>
      </w:r>
      <w:r w:rsidR="000E39B0" w:rsidRPr="00C4795A">
        <w:rPr>
          <w:rFonts w:ascii="Times New Roman" w:hAnsi="Times New Roman" w:cs="Times New Roman"/>
          <w:sz w:val="24"/>
          <w:szCs w:val="24"/>
        </w:rPr>
        <w:t xml:space="preserve"> il </w:t>
      </w:r>
      <w:r w:rsidR="00B02BDF" w:rsidRPr="00C4795A">
        <w:rPr>
          <w:rFonts w:ascii="Times New Roman" w:hAnsi="Times New Roman" w:cs="Times New Roman"/>
          <w:sz w:val="24"/>
          <w:szCs w:val="24"/>
        </w:rPr>
        <w:t xml:space="preserve">giudice comune di somministrare una tutela immediata che la parte invochi come indifferibile. Questa condizione è tipicamente riscontrabile nel processo amministrativo a carattere </w:t>
      </w:r>
      <w:proofErr w:type="spellStart"/>
      <w:r w:rsidR="00B02BDF" w:rsidRPr="00C4795A">
        <w:rPr>
          <w:rFonts w:ascii="Times New Roman" w:hAnsi="Times New Roman" w:cs="Times New Roman"/>
          <w:sz w:val="24"/>
          <w:szCs w:val="24"/>
        </w:rPr>
        <w:t>impugnatorio</w:t>
      </w:r>
      <w:proofErr w:type="spellEnd"/>
      <w:r w:rsidR="00095188" w:rsidRPr="00C4795A">
        <w:rPr>
          <w:rFonts w:ascii="Times New Roman" w:hAnsi="Times New Roman" w:cs="Times New Roman"/>
          <w:sz w:val="24"/>
          <w:szCs w:val="24"/>
        </w:rPr>
        <w:t>,</w:t>
      </w:r>
      <w:r w:rsidR="00B02BDF" w:rsidRPr="00C4795A">
        <w:rPr>
          <w:rFonts w:ascii="Times New Roman" w:hAnsi="Times New Roman" w:cs="Times New Roman"/>
          <w:sz w:val="24"/>
          <w:szCs w:val="24"/>
        </w:rPr>
        <w:t xml:space="preserve"> in cui la fase cautelare ben si presta all’adozione di misure atte, al contempo, ad anticipare in via provvisoria la tutela e a consentire al giudice di </w:t>
      </w:r>
      <w:r w:rsidR="00095188" w:rsidRPr="00C4795A">
        <w:rPr>
          <w:rFonts w:ascii="Times New Roman" w:hAnsi="Times New Roman" w:cs="Times New Roman"/>
          <w:sz w:val="24"/>
          <w:szCs w:val="24"/>
        </w:rPr>
        <w:t xml:space="preserve">proporre una censura </w:t>
      </w:r>
      <w:r w:rsidR="00B02BDF" w:rsidRPr="00C4795A">
        <w:rPr>
          <w:rFonts w:ascii="Times New Roman" w:hAnsi="Times New Roman" w:cs="Times New Roman"/>
          <w:sz w:val="24"/>
          <w:szCs w:val="24"/>
        </w:rPr>
        <w:t>di legittimità</w:t>
      </w:r>
      <w:r w:rsidR="00095188" w:rsidRPr="00C4795A">
        <w:rPr>
          <w:rFonts w:ascii="Times New Roman" w:hAnsi="Times New Roman" w:cs="Times New Roman"/>
          <w:sz w:val="24"/>
          <w:szCs w:val="24"/>
        </w:rPr>
        <w:t xml:space="preserve"> costituzionale</w:t>
      </w:r>
      <w:r w:rsidR="00B02BDF" w:rsidRPr="00C4795A">
        <w:rPr>
          <w:rFonts w:ascii="Times New Roman" w:hAnsi="Times New Roman" w:cs="Times New Roman"/>
          <w:sz w:val="24"/>
          <w:szCs w:val="24"/>
        </w:rPr>
        <w:t xml:space="preserve"> </w:t>
      </w:r>
      <w:r w:rsidR="00095188" w:rsidRPr="00C4795A">
        <w:rPr>
          <w:rFonts w:ascii="Times New Roman" w:hAnsi="Times New Roman" w:cs="Times New Roman"/>
          <w:sz w:val="24"/>
          <w:szCs w:val="24"/>
        </w:rPr>
        <w:t>su</w:t>
      </w:r>
      <w:r w:rsidR="00B02BDF" w:rsidRPr="00C4795A">
        <w:rPr>
          <w:rFonts w:ascii="Times New Roman" w:hAnsi="Times New Roman" w:cs="Times New Roman"/>
          <w:sz w:val="24"/>
          <w:szCs w:val="24"/>
        </w:rPr>
        <w:t xml:space="preserve">lla norma di cui l’atto amministrativo costituisce applicazione. In questi casi la </w:t>
      </w:r>
      <w:r w:rsidR="00B02BDF" w:rsidRPr="00C4795A">
        <w:rPr>
          <w:rFonts w:ascii="Times New Roman" w:hAnsi="Times New Roman" w:cs="Times New Roman"/>
          <w:sz w:val="24"/>
          <w:szCs w:val="24"/>
        </w:rPr>
        <w:lastRenderedPageBreak/>
        <w:t>decisione cautelare assicura</w:t>
      </w:r>
      <w:r w:rsidR="000E39B0" w:rsidRPr="00C4795A">
        <w:rPr>
          <w:rFonts w:ascii="Times New Roman" w:hAnsi="Times New Roman" w:cs="Times New Roman"/>
          <w:sz w:val="24"/>
          <w:szCs w:val="24"/>
        </w:rPr>
        <w:t xml:space="preserve"> l’immediata tutela </w:t>
      </w:r>
      <w:r w:rsidR="00B02BDF" w:rsidRPr="00C4795A">
        <w:rPr>
          <w:rFonts w:ascii="Times New Roman" w:hAnsi="Times New Roman" w:cs="Times New Roman"/>
          <w:sz w:val="24"/>
          <w:szCs w:val="24"/>
        </w:rPr>
        <w:t>della posizione incisa dalla norma anti-unionale, scongiurando ogni sacrificio al principio di effettività</w:t>
      </w:r>
      <w:r w:rsidR="00B02BDF" w:rsidRPr="00C4795A">
        <w:rPr>
          <w:rStyle w:val="Rimandonotaapidipagina"/>
          <w:rFonts w:ascii="Times New Roman" w:hAnsi="Times New Roman" w:cs="Times New Roman"/>
          <w:sz w:val="24"/>
          <w:szCs w:val="24"/>
        </w:rPr>
        <w:footnoteReference w:id="58"/>
      </w:r>
      <w:r w:rsidR="00B02BDF" w:rsidRPr="00C4795A">
        <w:rPr>
          <w:rFonts w:ascii="Times New Roman" w:hAnsi="Times New Roman" w:cs="Times New Roman"/>
          <w:sz w:val="24"/>
          <w:szCs w:val="24"/>
        </w:rPr>
        <w:t xml:space="preserve">. </w:t>
      </w:r>
    </w:p>
    <w:p w14:paraId="2A29C7E7" w14:textId="77777777" w:rsidR="000E39B0" w:rsidRPr="00C4795A" w:rsidRDefault="00B02BDF" w:rsidP="000E39B0">
      <w:pPr>
        <w:spacing w:after="0"/>
        <w:jc w:val="both"/>
        <w:rPr>
          <w:rFonts w:ascii="Times New Roman" w:hAnsi="Times New Roman" w:cs="Times New Roman"/>
          <w:sz w:val="24"/>
          <w:szCs w:val="24"/>
        </w:rPr>
      </w:pPr>
      <w:r w:rsidRPr="00C4795A">
        <w:rPr>
          <w:rFonts w:ascii="Times New Roman" w:hAnsi="Times New Roman" w:cs="Times New Roman"/>
          <w:sz w:val="24"/>
          <w:szCs w:val="24"/>
        </w:rPr>
        <w:t xml:space="preserve">Non sempre, tuttavia, la tutela cautelare è esperibile. </w:t>
      </w:r>
      <w:r w:rsidR="000E39B0" w:rsidRPr="00C4795A">
        <w:rPr>
          <w:rFonts w:ascii="Times New Roman" w:hAnsi="Times New Roman" w:cs="Times New Roman"/>
          <w:sz w:val="24"/>
          <w:szCs w:val="24"/>
        </w:rPr>
        <w:t xml:space="preserve">Per un verso, infatti, i presupposti richiesti per l’adozione di provvedimenti cautelari, </w:t>
      </w:r>
      <w:r w:rsidR="000E39B0" w:rsidRPr="00C4795A">
        <w:rPr>
          <w:rFonts w:ascii="Times New Roman" w:eastAsia="Times New Roman" w:hAnsi="Times New Roman" w:cs="Times New Roman"/>
          <w:kern w:val="0"/>
          <w:sz w:val="24"/>
          <w:szCs w:val="24"/>
          <w:lang w:eastAsia="it-IT"/>
          <w14:ligatures w14:val="none"/>
        </w:rPr>
        <w:t xml:space="preserve">pur potendo disporsi a letture interpretative elastiche e largheggianti, non possono essere considerati sussistenti oltre ogni limite di ragionevolezza. Per altro verso, si danno sedi processuali in cui </w:t>
      </w:r>
      <w:r w:rsidR="000E39B0" w:rsidRPr="00C4795A">
        <w:rPr>
          <w:rFonts w:ascii="Times New Roman" w:hAnsi="Times New Roman" w:cs="Times New Roman"/>
          <w:sz w:val="24"/>
          <w:szCs w:val="24"/>
        </w:rPr>
        <w:t>la tutela cautelare non è irrogabile per la natura stessa del giudizio: si pensi al giudizio per Cassazione</w:t>
      </w:r>
      <w:r w:rsidR="000E39B0" w:rsidRPr="00C4795A">
        <w:rPr>
          <w:rFonts w:ascii="Times New Roman" w:eastAsia="Times New Roman" w:hAnsi="Times New Roman" w:cs="Times New Roman"/>
          <w:kern w:val="0"/>
          <w:sz w:val="24"/>
          <w:szCs w:val="24"/>
          <w:lang w:eastAsia="it-IT"/>
          <w14:ligatures w14:val="none"/>
        </w:rPr>
        <w:t xml:space="preserve">. La cautela è molto, dunque, ma non è tutto, e per questo non può escludersi che residuino ipotesi nelle quali il giudice che sollevi una questione di costituzionalità involgente una norma unionale ad effetto diretto si ponga in contrasto con la ferrea giurisprudenza della Corte di giustizia che non ammette alcun differimento, neppure se temporaneo, dell’effetto </w:t>
      </w:r>
      <w:proofErr w:type="spellStart"/>
      <w:r w:rsidR="000E39B0" w:rsidRPr="00C4795A">
        <w:rPr>
          <w:rFonts w:ascii="Times New Roman" w:eastAsia="Times New Roman" w:hAnsi="Times New Roman" w:cs="Times New Roman"/>
          <w:kern w:val="0"/>
          <w:sz w:val="24"/>
          <w:szCs w:val="24"/>
          <w:lang w:eastAsia="it-IT"/>
          <w14:ligatures w14:val="none"/>
        </w:rPr>
        <w:t>disapplicativo</w:t>
      </w:r>
      <w:proofErr w:type="spellEnd"/>
      <w:r w:rsidR="000E39B0" w:rsidRPr="00C4795A">
        <w:rPr>
          <w:rFonts w:ascii="Times New Roman" w:eastAsia="Times New Roman" w:hAnsi="Times New Roman" w:cs="Times New Roman"/>
          <w:kern w:val="0"/>
          <w:sz w:val="24"/>
          <w:szCs w:val="24"/>
          <w:lang w:eastAsia="it-IT"/>
          <w14:ligatures w14:val="none"/>
        </w:rPr>
        <w:t>.</w:t>
      </w:r>
      <w:r w:rsidR="000E39B0" w:rsidRPr="00C4795A">
        <w:rPr>
          <w:rFonts w:ascii="Times New Roman" w:hAnsi="Times New Roman" w:cs="Times New Roman"/>
          <w:sz w:val="24"/>
          <w:szCs w:val="24"/>
        </w:rPr>
        <w:t xml:space="preserve"> Per assicurare la più armoniosa coabitazione tra gli strumenti di tutela, la dottrina sensibile all’esigenza di garantire l’immediata efficacia del diritto unionale e la proposizione dell’incidente di costituzionalità in ogni sede di giudizio e dinanzi a ogni autorità giurisdizionale ha prospettato soluzioni ingegnose. </w:t>
      </w:r>
    </w:p>
    <w:p w14:paraId="2923C727" w14:textId="1E1F1C1F" w:rsidR="00EE7CE6" w:rsidRPr="00C4795A" w:rsidRDefault="00A3000C" w:rsidP="00EE7CE6">
      <w:pPr>
        <w:jc w:val="both"/>
        <w:rPr>
          <w:rFonts w:ascii="Times New Roman" w:hAnsi="Times New Roman" w:cs="Times New Roman"/>
          <w:sz w:val="24"/>
          <w:szCs w:val="24"/>
        </w:rPr>
      </w:pPr>
      <w:r w:rsidRPr="00C4795A">
        <w:rPr>
          <w:rFonts w:ascii="Times New Roman" w:hAnsi="Times New Roman" w:cs="Times New Roman"/>
          <w:sz w:val="24"/>
          <w:szCs w:val="24"/>
        </w:rPr>
        <w:t xml:space="preserve">Ne analizzo tre, prima di avanzarne una a titolo personale: </w:t>
      </w:r>
      <w:r w:rsidR="00EE7CE6" w:rsidRPr="00C4795A">
        <w:rPr>
          <w:rFonts w:ascii="Times New Roman" w:hAnsi="Times New Roman" w:cs="Times New Roman"/>
          <w:sz w:val="24"/>
          <w:szCs w:val="24"/>
        </w:rPr>
        <w:t xml:space="preserve">a) </w:t>
      </w:r>
      <w:r w:rsidRPr="00C4795A">
        <w:rPr>
          <w:rFonts w:ascii="Times New Roman" w:hAnsi="Times New Roman" w:cs="Times New Roman"/>
          <w:sz w:val="24"/>
          <w:szCs w:val="24"/>
        </w:rPr>
        <w:t>quella di Francesco Saitto della applicabilità parallela dei parametri intern</w:t>
      </w:r>
      <w:r w:rsidR="000E39B0" w:rsidRPr="00C4795A">
        <w:rPr>
          <w:rFonts w:ascii="Times New Roman" w:hAnsi="Times New Roman" w:cs="Times New Roman"/>
          <w:sz w:val="24"/>
          <w:szCs w:val="24"/>
        </w:rPr>
        <w:t>i</w:t>
      </w:r>
      <w:r w:rsidRPr="00C4795A">
        <w:rPr>
          <w:rFonts w:ascii="Times New Roman" w:hAnsi="Times New Roman" w:cs="Times New Roman"/>
          <w:sz w:val="24"/>
          <w:szCs w:val="24"/>
        </w:rPr>
        <w:t xml:space="preserve"> e unional</w:t>
      </w:r>
      <w:r w:rsidR="000E39B0" w:rsidRPr="00C4795A">
        <w:rPr>
          <w:rFonts w:ascii="Times New Roman" w:hAnsi="Times New Roman" w:cs="Times New Roman"/>
          <w:sz w:val="24"/>
          <w:szCs w:val="24"/>
        </w:rPr>
        <w:t>i</w:t>
      </w:r>
      <w:r w:rsidRPr="00C4795A">
        <w:rPr>
          <w:rFonts w:ascii="Times New Roman" w:hAnsi="Times New Roman" w:cs="Times New Roman"/>
          <w:sz w:val="24"/>
          <w:szCs w:val="24"/>
        </w:rPr>
        <w:t xml:space="preserve">; </w:t>
      </w:r>
      <w:r w:rsidR="00EE7CE6" w:rsidRPr="00C4795A">
        <w:rPr>
          <w:rFonts w:ascii="Times New Roman" w:hAnsi="Times New Roman" w:cs="Times New Roman"/>
          <w:sz w:val="24"/>
          <w:szCs w:val="24"/>
        </w:rPr>
        <w:t xml:space="preserve">b) </w:t>
      </w:r>
      <w:r w:rsidRPr="00C4795A">
        <w:rPr>
          <w:rFonts w:ascii="Times New Roman" w:hAnsi="Times New Roman" w:cs="Times New Roman"/>
          <w:sz w:val="24"/>
          <w:szCs w:val="24"/>
        </w:rPr>
        <w:t xml:space="preserve">quella, proposta da Giorgio Repetto, della inversione dei rimedi giurisdizionali, e precisamente dell’anticipazione della questione di costituzionalità rispetto alla disapplicazione </w:t>
      </w:r>
      <w:r w:rsidRPr="00C4795A">
        <w:rPr>
          <w:rFonts w:ascii="Times New Roman" w:hAnsi="Times New Roman" w:cs="Times New Roman"/>
          <w:i/>
          <w:iCs/>
          <w:sz w:val="24"/>
          <w:szCs w:val="24"/>
        </w:rPr>
        <w:t>inter partes</w:t>
      </w:r>
      <w:r w:rsidRPr="00C4795A">
        <w:rPr>
          <w:rFonts w:ascii="Times New Roman" w:hAnsi="Times New Roman" w:cs="Times New Roman"/>
          <w:sz w:val="24"/>
          <w:szCs w:val="24"/>
        </w:rPr>
        <w:t xml:space="preserve">; </w:t>
      </w:r>
      <w:r w:rsidR="00EE7CE6" w:rsidRPr="00C4795A">
        <w:rPr>
          <w:rFonts w:ascii="Times New Roman" w:hAnsi="Times New Roman" w:cs="Times New Roman"/>
          <w:sz w:val="24"/>
          <w:szCs w:val="24"/>
        </w:rPr>
        <w:t>c)</w:t>
      </w:r>
      <w:r w:rsidRPr="00C4795A">
        <w:rPr>
          <w:rFonts w:ascii="Times New Roman" w:hAnsi="Times New Roman" w:cs="Times New Roman"/>
          <w:sz w:val="24"/>
          <w:szCs w:val="24"/>
        </w:rPr>
        <w:t xml:space="preserve"> infine quella di Andrea Chiappetta, che suggerisce un ricorso sistematico da parte della Corte costituzionale alla tutela cautelare quando sia destinataria di una questione doppiamente pregiudiziale, unionale e costituzionale.</w:t>
      </w:r>
    </w:p>
    <w:p w14:paraId="54EC9EF1" w14:textId="3141ECDE" w:rsidR="00AD6A60" w:rsidRPr="00C4795A" w:rsidRDefault="00A4639E" w:rsidP="00EE7CE6">
      <w:pPr>
        <w:pStyle w:val="Paragrafoelenco"/>
        <w:numPr>
          <w:ilvl w:val="0"/>
          <w:numId w:val="24"/>
        </w:numPr>
        <w:jc w:val="both"/>
        <w:rPr>
          <w:rFonts w:ascii="Times New Roman" w:hAnsi="Times New Roman" w:cs="Times New Roman"/>
          <w:sz w:val="24"/>
          <w:szCs w:val="24"/>
        </w:rPr>
      </w:pPr>
      <w:r w:rsidRPr="00C4795A">
        <w:rPr>
          <w:rFonts w:ascii="Times New Roman" w:hAnsi="Times New Roman" w:cs="Times New Roman"/>
          <w:sz w:val="24"/>
          <w:szCs w:val="24"/>
        </w:rPr>
        <w:t>Francesco Saitto</w:t>
      </w:r>
      <w:r w:rsidRPr="00C4795A">
        <w:rPr>
          <w:rStyle w:val="Rimandonotaapidipagina"/>
          <w:rFonts w:ascii="Times New Roman" w:hAnsi="Times New Roman" w:cs="Times New Roman"/>
          <w:sz w:val="24"/>
          <w:szCs w:val="24"/>
        </w:rPr>
        <w:footnoteReference w:id="59"/>
      </w:r>
      <w:r w:rsidRPr="00C4795A">
        <w:rPr>
          <w:rFonts w:ascii="Times New Roman" w:hAnsi="Times New Roman" w:cs="Times New Roman"/>
          <w:sz w:val="24"/>
          <w:szCs w:val="24"/>
        </w:rPr>
        <w:t xml:space="preserve"> </w:t>
      </w:r>
      <w:r w:rsidR="00EE7CE6" w:rsidRPr="00C4795A">
        <w:rPr>
          <w:rFonts w:ascii="Times New Roman" w:hAnsi="Times New Roman" w:cs="Times New Roman"/>
          <w:sz w:val="24"/>
          <w:szCs w:val="24"/>
        </w:rPr>
        <w:t xml:space="preserve">propone </w:t>
      </w:r>
      <w:r w:rsidR="00FF3EEB" w:rsidRPr="00C4795A">
        <w:rPr>
          <w:rFonts w:ascii="Times New Roman" w:hAnsi="Times New Roman" w:cs="Times New Roman"/>
          <w:i/>
          <w:iCs/>
          <w:sz w:val="24"/>
          <w:szCs w:val="24"/>
        </w:rPr>
        <w:t>l</w:t>
      </w:r>
      <w:r w:rsidRPr="00C4795A">
        <w:rPr>
          <w:rFonts w:ascii="Times New Roman" w:hAnsi="Times New Roman" w:cs="Times New Roman"/>
          <w:i/>
          <w:iCs/>
          <w:sz w:val="24"/>
          <w:szCs w:val="24"/>
        </w:rPr>
        <w:t>’applicabilità parallela</w:t>
      </w:r>
      <w:r w:rsidR="005252A0" w:rsidRPr="00C4795A">
        <w:rPr>
          <w:rFonts w:ascii="Times New Roman" w:hAnsi="Times New Roman" w:cs="Times New Roman"/>
          <w:sz w:val="24"/>
          <w:szCs w:val="24"/>
        </w:rPr>
        <w:t xml:space="preserve"> dei parametri intern</w:t>
      </w:r>
      <w:r w:rsidR="00FF3EEB" w:rsidRPr="00C4795A">
        <w:rPr>
          <w:rFonts w:ascii="Times New Roman" w:hAnsi="Times New Roman" w:cs="Times New Roman"/>
          <w:sz w:val="24"/>
          <w:szCs w:val="24"/>
        </w:rPr>
        <w:t>i</w:t>
      </w:r>
      <w:r w:rsidR="000C73E4" w:rsidRPr="00C4795A">
        <w:rPr>
          <w:rFonts w:ascii="Times New Roman" w:hAnsi="Times New Roman" w:cs="Times New Roman"/>
          <w:sz w:val="24"/>
          <w:szCs w:val="24"/>
        </w:rPr>
        <w:t xml:space="preserve"> e unional</w:t>
      </w:r>
      <w:r w:rsidR="00FF3EEB" w:rsidRPr="00C4795A">
        <w:rPr>
          <w:rFonts w:ascii="Times New Roman" w:hAnsi="Times New Roman" w:cs="Times New Roman"/>
          <w:sz w:val="24"/>
          <w:szCs w:val="24"/>
        </w:rPr>
        <w:t>i</w:t>
      </w:r>
      <w:r w:rsidRPr="00C4795A">
        <w:rPr>
          <w:rFonts w:ascii="Times New Roman" w:hAnsi="Times New Roman" w:cs="Times New Roman"/>
          <w:sz w:val="24"/>
          <w:szCs w:val="24"/>
        </w:rPr>
        <w:t xml:space="preserve">. </w:t>
      </w:r>
      <w:r w:rsidR="00EE7CE6" w:rsidRPr="00C4795A">
        <w:rPr>
          <w:rFonts w:ascii="Times New Roman" w:hAnsi="Times New Roman" w:cs="Times New Roman"/>
          <w:sz w:val="24"/>
          <w:szCs w:val="24"/>
        </w:rPr>
        <w:t>Al giudice comune</w:t>
      </w:r>
      <w:r w:rsidR="000E39B0" w:rsidRPr="00C4795A">
        <w:rPr>
          <w:rFonts w:ascii="Times New Roman" w:hAnsi="Times New Roman" w:cs="Times New Roman"/>
          <w:sz w:val="24"/>
          <w:szCs w:val="24"/>
        </w:rPr>
        <w:t>, in questo schema,</w:t>
      </w:r>
      <w:r w:rsidR="00EE7CE6" w:rsidRPr="00C4795A">
        <w:rPr>
          <w:rFonts w:ascii="Times New Roman" w:hAnsi="Times New Roman" w:cs="Times New Roman"/>
          <w:sz w:val="24"/>
          <w:szCs w:val="24"/>
        </w:rPr>
        <w:t xml:space="preserve"> è consentito scegliere liberamente tra disapplicazione e </w:t>
      </w:r>
      <w:proofErr w:type="spellStart"/>
      <w:r w:rsidR="00EE7CE6" w:rsidRPr="00C4795A">
        <w:rPr>
          <w:rFonts w:ascii="Times New Roman" w:hAnsi="Times New Roman" w:cs="Times New Roman"/>
          <w:sz w:val="24"/>
          <w:szCs w:val="24"/>
        </w:rPr>
        <w:t>q.l.c</w:t>
      </w:r>
      <w:proofErr w:type="spellEnd"/>
      <w:r w:rsidR="00EE7CE6" w:rsidRPr="00C4795A">
        <w:rPr>
          <w:rFonts w:ascii="Times New Roman" w:hAnsi="Times New Roman" w:cs="Times New Roman"/>
          <w:sz w:val="24"/>
          <w:szCs w:val="24"/>
        </w:rPr>
        <w:t xml:space="preserve">. su parametri puramente interni, mentre </w:t>
      </w:r>
      <w:r w:rsidRPr="00C4795A">
        <w:rPr>
          <w:rFonts w:ascii="Times New Roman" w:hAnsi="Times New Roman" w:cs="Times New Roman"/>
          <w:sz w:val="24"/>
          <w:szCs w:val="24"/>
        </w:rPr>
        <w:t xml:space="preserve">la Corte potrebbe </w:t>
      </w:r>
      <w:r w:rsidR="00FF3EEB" w:rsidRPr="00C4795A">
        <w:rPr>
          <w:rFonts w:ascii="Times New Roman" w:hAnsi="Times New Roman" w:cs="Times New Roman"/>
          <w:sz w:val="24"/>
          <w:szCs w:val="24"/>
        </w:rPr>
        <w:t xml:space="preserve">estendere il proprio sindacato </w:t>
      </w:r>
      <w:r w:rsidR="00EE7CE6" w:rsidRPr="00C4795A">
        <w:rPr>
          <w:rFonts w:ascii="Times New Roman" w:hAnsi="Times New Roman" w:cs="Times New Roman"/>
          <w:sz w:val="24"/>
          <w:szCs w:val="24"/>
        </w:rPr>
        <w:t xml:space="preserve">di costituzionalità </w:t>
      </w:r>
      <w:r w:rsidR="00FF3EEB" w:rsidRPr="00C4795A">
        <w:rPr>
          <w:rFonts w:ascii="Times New Roman" w:hAnsi="Times New Roman" w:cs="Times New Roman"/>
          <w:sz w:val="24"/>
          <w:szCs w:val="24"/>
        </w:rPr>
        <w:t>sulla norma anti-unionale</w:t>
      </w:r>
      <w:r w:rsidRPr="00C4795A">
        <w:rPr>
          <w:rFonts w:ascii="Times New Roman" w:hAnsi="Times New Roman" w:cs="Times New Roman"/>
          <w:sz w:val="24"/>
          <w:szCs w:val="24"/>
        </w:rPr>
        <w:t xml:space="preserve"> solo quando ricorrano le condizioni poste nella sentenza Melloni</w:t>
      </w:r>
      <w:r w:rsidRPr="00C4795A">
        <w:rPr>
          <w:rStyle w:val="Rimandonotaapidipagina"/>
          <w:rFonts w:ascii="Times New Roman" w:hAnsi="Times New Roman" w:cs="Times New Roman"/>
          <w:sz w:val="24"/>
          <w:szCs w:val="24"/>
        </w:rPr>
        <w:footnoteReference w:id="60"/>
      </w:r>
      <w:r w:rsidRPr="00C4795A">
        <w:rPr>
          <w:rFonts w:ascii="Times New Roman" w:hAnsi="Times New Roman" w:cs="Times New Roman"/>
          <w:sz w:val="24"/>
          <w:szCs w:val="24"/>
        </w:rPr>
        <w:t xml:space="preserve">, vale a dire quando l’ambito di interesse non sia integralmente disciplinato dalla normativa europea e </w:t>
      </w:r>
      <w:r w:rsidR="000E39B0" w:rsidRPr="00C4795A">
        <w:rPr>
          <w:rFonts w:ascii="Times New Roman" w:hAnsi="Times New Roman" w:cs="Times New Roman"/>
          <w:sz w:val="24"/>
          <w:szCs w:val="24"/>
        </w:rPr>
        <w:t>l’applicazione degli standard nazional</w:t>
      </w:r>
      <w:r w:rsidRPr="00C4795A">
        <w:rPr>
          <w:rFonts w:ascii="Times New Roman" w:hAnsi="Times New Roman" w:cs="Times New Roman"/>
          <w:sz w:val="24"/>
          <w:szCs w:val="24"/>
        </w:rPr>
        <w:t xml:space="preserve">i </w:t>
      </w:r>
      <w:r w:rsidR="000E39B0" w:rsidRPr="00C4795A">
        <w:rPr>
          <w:rFonts w:ascii="Times New Roman" w:hAnsi="Times New Roman" w:cs="Times New Roman"/>
          <w:sz w:val="24"/>
          <w:szCs w:val="24"/>
        </w:rPr>
        <w:t>di tutela dei diritti fondamentali «non comprometta il livello di tutela previsto dalla Carta» di Nizza, ma anzi lo innalzi</w:t>
      </w:r>
      <w:r w:rsidR="00FE5759" w:rsidRPr="00C4795A">
        <w:rPr>
          <w:rStyle w:val="Rimandonotaapidipagina"/>
          <w:rFonts w:ascii="Times New Roman" w:hAnsi="Times New Roman" w:cs="Times New Roman"/>
          <w:sz w:val="24"/>
          <w:szCs w:val="24"/>
        </w:rPr>
        <w:footnoteReference w:id="61"/>
      </w:r>
      <w:r w:rsidRPr="00C4795A">
        <w:rPr>
          <w:rFonts w:ascii="Times New Roman" w:hAnsi="Times New Roman" w:cs="Times New Roman"/>
          <w:sz w:val="24"/>
          <w:szCs w:val="24"/>
        </w:rPr>
        <w:t xml:space="preserve">. </w:t>
      </w:r>
    </w:p>
    <w:p w14:paraId="4E29D776" w14:textId="59189A63" w:rsidR="00A4639E" w:rsidRPr="00C4795A" w:rsidRDefault="005252A0" w:rsidP="000E39B0">
      <w:pPr>
        <w:spacing w:after="0"/>
        <w:jc w:val="both"/>
        <w:rPr>
          <w:rFonts w:ascii="Times New Roman" w:hAnsi="Times New Roman" w:cs="Times New Roman"/>
          <w:sz w:val="24"/>
          <w:szCs w:val="24"/>
        </w:rPr>
      </w:pPr>
      <w:r w:rsidRPr="00C4795A">
        <w:rPr>
          <w:rFonts w:ascii="Times New Roman" w:hAnsi="Times New Roman" w:cs="Times New Roman"/>
          <w:sz w:val="24"/>
          <w:szCs w:val="24"/>
        </w:rPr>
        <w:lastRenderedPageBreak/>
        <w:t>Me</w:t>
      </w:r>
      <w:r w:rsidR="006E233E" w:rsidRPr="00C4795A">
        <w:rPr>
          <w:rFonts w:ascii="Times New Roman" w:hAnsi="Times New Roman" w:cs="Times New Roman"/>
          <w:sz w:val="24"/>
          <w:szCs w:val="24"/>
        </w:rPr>
        <w:t>tto</w:t>
      </w:r>
      <w:r w:rsidRPr="00C4795A">
        <w:rPr>
          <w:rFonts w:ascii="Times New Roman" w:hAnsi="Times New Roman" w:cs="Times New Roman"/>
          <w:sz w:val="24"/>
          <w:szCs w:val="24"/>
        </w:rPr>
        <w:t xml:space="preserve"> da parte le difficoltà di apprezzare quando l’ambito di interesse sia interamente armonizzato e di </w:t>
      </w:r>
      <w:r w:rsidR="00287F10" w:rsidRPr="00C4795A">
        <w:rPr>
          <w:rFonts w:ascii="Times New Roman" w:hAnsi="Times New Roman" w:cs="Times New Roman"/>
          <w:sz w:val="24"/>
          <w:szCs w:val="24"/>
        </w:rPr>
        <w:t xml:space="preserve">saggiare </w:t>
      </w:r>
      <w:r w:rsidRPr="00C4795A">
        <w:rPr>
          <w:rFonts w:ascii="Times New Roman" w:hAnsi="Times New Roman" w:cs="Times New Roman"/>
          <w:sz w:val="24"/>
          <w:szCs w:val="24"/>
        </w:rPr>
        <w:t xml:space="preserve">il </w:t>
      </w:r>
      <w:r w:rsidRPr="00C4795A">
        <w:rPr>
          <w:rFonts w:ascii="Times New Roman" w:hAnsi="Times New Roman" w:cs="Times New Roman"/>
          <w:i/>
          <w:iCs/>
          <w:sz w:val="24"/>
          <w:szCs w:val="24"/>
        </w:rPr>
        <w:t>plus</w:t>
      </w:r>
      <w:r w:rsidRPr="00C4795A">
        <w:rPr>
          <w:rFonts w:ascii="Times New Roman" w:hAnsi="Times New Roman" w:cs="Times New Roman"/>
          <w:sz w:val="24"/>
          <w:szCs w:val="24"/>
        </w:rPr>
        <w:t xml:space="preserve"> di tutela, che non può essere oggetto di una misurazione esclusivamente incentrata sull’incremento della tutela soggettiva delle parti</w:t>
      </w:r>
      <w:r w:rsidR="0059127E" w:rsidRPr="00C4795A">
        <w:rPr>
          <w:rFonts w:ascii="Times New Roman" w:hAnsi="Times New Roman" w:cs="Times New Roman"/>
          <w:sz w:val="24"/>
          <w:szCs w:val="24"/>
        </w:rPr>
        <w:t>,</w:t>
      </w:r>
      <w:r w:rsidRPr="00C4795A">
        <w:rPr>
          <w:rFonts w:ascii="Times New Roman" w:hAnsi="Times New Roman" w:cs="Times New Roman"/>
          <w:sz w:val="24"/>
          <w:szCs w:val="24"/>
        </w:rPr>
        <w:t xml:space="preserve"> </w:t>
      </w:r>
      <w:r w:rsidR="00287F10" w:rsidRPr="00C4795A">
        <w:rPr>
          <w:rFonts w:ascii="Times New Roman" w:hAnsi="Times New Roman" w:cs="Times New Roman"/>
          <w:sz w:val="24"/>
          <w:szCs w:val="24"/>
        </w:rPr>
        <w:t xml:space="preserve">non mancando ipotesi in cui la posizione del privato è destinata a cedere nel bilanciamento con </w:t>
      </w:r>
      <w:r w:rsidRPr="00C4795A">
        <w:rPr>
          <w:rFonts w:ascii="Times New Roman" w:hAnsi="Times New Roman" w:cs="Times New Roman"/>
          <w:sz w:val="24"/>
          <w:szCs w:val="24"/>
        </w:rPr>
        <w:t>interessi ordinamentali o collettivi</w:t>
      </w:r>
      <w:r w:rsidR="00287F10" w:rsidRPr="00C4795A">
        <w:rPr>
          <w:rFonts w:ascii="Times New Roman" w:hAnsi="Times New Roman" w:cs="Times New Roman"/>
          <w:sz w:val="24"/>
          <w:szCs w:val="24"/>
        </w:rPr>
        <w:t xml:space="preserve"> che trovano espressione in principi </w:t>
      </w:r>
      <w:r w:rsidR="000518A0" w:rsidRPr="00C4795A">
        <w:rPr>
          <w:rFonts w:ascii="Times New Roman" w:hAnsi="Times New Roman" w:cs="Times New Roman"/>
          <w:sz w:val="24"/>
          <w:szCs w:val="24"/>
        </w:rPr>
        <w:t xml:space="preserve">di rango </w:t>
      </w:r>
      <w:r w:rsidR="00287F10" w:rsidRPr="00C4795A">
        <w:rPr>
          <w:rFonts w:ascii="Times New Roman" w:hAnsi="Times New Roman" w:cs="Times New Roman"/>
          <w:sz w:val="24"/>
          <w:szCs w:val="24"/>
        </w:rPr>
        <w:t>costituzional</w:t>
      </w:r>
      <w:r w:rsidR="000518A0" w:rsidRPr="00C4795A">
        <w:rPr>
          <w:rFonts w:ascii="Times New Roman" w:hAnsi="Times New Roman" w:cs="Times New Roman"/>
          <w:sz w:val="24"/>
          <w:szCs w:val="24"/>
        </w:rPr>
        <w:t>e</w:t>
      </w:r>
      <w:r w:rsidR="006E233E" w:rsidRPr="00C4795A">
        <w:rPr>
          <w:rStyle w:val="Rimandonotaapidipagina"/>
          <w:rFonts w:ascii="Times New Roman" w:hAnsi="Times New Roman" w:cs="Times New Roman"/>
          <w:sz w:val="24"/>
          <w:szCs w:val="24"/>
        </w:rPr>
        <w:footnoteReference w:id="62"/>
      </w:r>
      <w:r w:rsidR="0059127E" w:rsidRPr="00C4795A">
        <w:rPr>
          <w:rFonts w:ascii="Times New Roman" w:hAnsi="Times New Roman" w:cs="Times New Roman"/>
          <w:sz w:val="24"/>
          <w:szCs w:val="24"/>
        </w:rPr>
        <w:t xml:space="preserve">; e formulo </w:t>
      </w:r>
      <w:r w:rsidR="00A4639E" w:rsidRPr="00C4795A">
        <w:rPr>
          <w:rFonts w:ascii="Times New Roman" w:hAnsi="Times New Roman" w:cs="Times New Roman"/>
          <w:sz w:val="24"/>
          <w:szCs w:val="24"/>
        </w:rPr>
        <w:t>due perplessità.</w:t>
      </w:r>
    </w:p>
    <w:p w14:paraId="28E01EB3" w14:textId="23DC5193" w:rsidR="006E233E" w:rsidRPr="00C4795A" w:rsidRDefault="00A4639E" w:rsidP="00FF3EEB">
      <w:pPr>
        <w:spacing w:after="0"/>
        <w:jc w:val="both"/>
        <w:rPr>
          <w:rFonts w:ascii="Times New Roman" w:hAnsi="Times New Roman" w:cs="Times New Roman"/>
          <w:sz w:val="24"/>
          <w:szCs w:val="24"/>
        </w:rPr>
      </w:pPr>
      <w:r w:rsidRPr="00C4795A">
        <w:rPr>
          <w:rFonts w:ascii="Times New Roman" w:hAnsi="Times New Roman" w:cs="Times New Roman"/>
          <w:sz w:val="24"/>
          <w:szCs w:val="24"/>
        </w:rPr>
        <w:t xml:space="preserve">La prima è che, lungi dall’integrarsi, in questo caso </w:t>
      </w:r>
      <w:r w:rsidR="00EB63B6" w:rsidRPr="00C4795A">
        <w:rPr>
          <w:rFonts w:ascii="Times New Roman" w:hAnsi="Times New Roman" w:cs="Times New Roman"/>
          <w:sz w:val="24"/>
          <w:szCs w:val="24"/>
        </w:rPr>
        <w:t xml:space="preserve">di sdoppiamento delle pregiudiziali, </w:t>
      </w:r>
      <w:r w:rsidRPr="00C4795A">
        <w:rPr>
          <w:rFonts w:ascii="Times New Roman" w:hAnsi="Times New Roman" w:cs="Times New Roman"/>
          <w:sz w:val="24"/>
          <w:szCs w:val="24"/>
        </w:rPr>
        <w:t>i rimedi si sommerebbero, allungando i tempi della tutela e i rischi di disarmonie e di veri e propri contrasti tra giudicati. Si pensi al caso del giudice comune che solleva una questione di legittimità costituzionale  esclusivamente su parametri interni, ancorché sussista e sia riconoscibile una contestuale incompatibilità unionale; in caso di pronuncia di rigetto della Corte</w:t>
      </w:r>
      <w:r w:rsidR="00EF3483" w:rsidRPr="00C4795A">
        <w:rPr>
          <w:rFonts w:ascii="Times New Roman" w:hAnsi="Times New Roman" w:cs="Times New Roman"/>
          <w:sz w:val="24"/>
          <w:szCs w:val="24"/>
        </w:rPr>
        <w:t>,</w:t>
      </w:r>
      <w:r w:rsidRPr="00C4795A">
        <w:rPr>
          <w:rFonts w:ascii="Times New Roman" w:hAnsi="Times New Roman" w:cs="Times New Roman"/>
          <w:sz w:val="24"/>
          <w:szCs w:val="24"/>
        </w:rPr>
        <w:t xml:space="preserve"> il medesimo giudice potrebbe far riemergere il contrasto, per l’innanzi non denunciato, anche con la norma unionale e formulare rinvio pregiudiziale</w:t>
      </w:r>
      <w:r w:rsidR="00287F10" w:rsidRPr="00C4795A">
        <w:rPr>
          <w:rFonts w:ascii="Times New Roman" w:hAnsi="Times New Roman" w:cs="Times New Roman"/>
          <w:sz w:val="24"/>
          <w:szCs w:val="24"/>
        </w:rPr>
        <w:t>,</w:t>
      </w:r>
      <w:r w:rsidRPr="00C4795A">
        <w:rPr>
          <w:rFonts w:ascii="Times New Roman" w:hAnsi="Times New Roman" w:cs="Times New Roman"/>
          <w:sz w:val="24"/>
          <w:szCs w:val="24"/>
        </w:rPr>
        <w:t xml:space="preserve"> così frammentando in due segmenti separati una questione </w:t>
      </w:r>
      <w:r w:rsidR="00287F10" w:rsidRPr="00C4795A">
        <w:rPr>
          <w:rFonts w:ascii="Times New Roman" w:hAnsi="Times New Roman" w:cs="Times New Roman"/>
          <w:sz w:val="24"/>
          <w:szCs w:val="24"/>
        </w:rPr>
        <w:t>doppiamente pregiudiziale che troverebbe più acconcia composizione se restasse intrecciata</w:t>
      </w:r>
      <w:r w:rsidRPr="00C4795A">
        <w:rPr>
          <w:rFonts w:ascii="Times New Roman" w:hAnsi="Times New Roman" w:cs="Times New Roman"/>
          <w:sz w:val="24"/>
          <w:szCs w:val="24"/>
        </w:rPr>
        <w:t>. </w:t>
      </w:r>
    </w:p>
    <w:p w14:paraId="189AF9D4" w14:textId="69748A1F" w:rsidR="00511482" w:rsidRPr="00C4795A" w:rsidRDefault="00A4639E" w:rsidP="00FF3EEB">
      <w:pPr>
        <w:spacing w:after="0"/>
        <w:jc w:val="both"/>
        <w:rPr>
          <w:rFonts w:ascii="Times New Roman" w:hAnsi="Times New Roman" w:cs="Times New Roman"/>
          <w:sz w:val="24"/>
          <w:szCs w:val="24"/>
        </w:rPr>
      </w:pPr>
      <w:r w:rsidRPr="00C4795A">
        <w:rPr>
          <w:rFonts w:ascii="Times New Roman" w:hAnsi="Times New Roman" w:cs="Times New Roman"/>
          <w:sz w:val="24"/>
          <w:szCs w:val="24"/>
        </w:rPr>
        <w:t xml:space="preserve">La seconda perplessità sta in ciò: diversamente dalle </w:t>
      </w:r>
      <w:r w:rsidR="00287F10" w:rsidRPr="00C4795A">
        <w:rPr>
          <w:rFonts w:ascii="Times New Roman" w:hAnsi="Times New Roman" w:cs="Times New Roman"/>
          <w:sz w:val="24"/>
          <w:szCs w:val="24"/>
        </w:rPr>
        <w:t>‘</w:t>
      </w:r>
      <w:r w:rsidRPr="00C4795A">
        <w:rPr>
          <w:rFonts w:ascii="Times New Roman" w:hAnsi="Times New Roman" w:cs="Times New Roman"/>
          <w:sz w:val="24"/>
          <w:szCs w:val="24"/>
        </w:rPr>
        <w:t>convergenze parallele</w:t>
      </w:r>
      <w:r w:rsidR="00287F10" w:rsidRPr="00C4795A">
        <w:rPr>
          <w:rFonts w:ascii="Times New Roman" w:hAnsi="Times New Roman" w:cs="Times New Roman"/>
          <w:sz w:val="24"/>
          <w:szCs w:val="24"/>
        </w:rPr>
        <w:t>’</w:t>
      </w:r>
      <w:r w:rsidRPr="00C4795A">
        <w:rPr>
          <w:rStyle w:val="Rimandonotaapidipagina"/>
          <w:rFonts w:ascii="Times New Roman" w:hAnsi="Times New Roman" w:cs="Times New Roman"/>
          <w:sz w:val="24"/>
          <w:szCs w:val="24"/>
        </w:rPr>
        <w:footnoteReference w:id="63"/>
      </w:r>
      <w:r w:rsidRPr="00C4795A">
        <w:rPr>
          <w:rFonts w:ascii="Times New Roman" w:hAnsi="Times New Roman" w:cs="Times New Roman"/>
          <w:sz w:val="24"/>
          <w:szCs w:val="24"/>
        </w:rPr>
        <w:t xml:space="preserve"> consegnateci dalla storia repubblicana, che rispondevano a una logica di progressivo avvicinamento (fra democristiani e socialisti), l’applicabilità parallela di cui con </w:t>
      </w:r>
      <w:r w:rsidR="00FF3EEB" w:rsidRPr="00C4795A">
        <w:rPr>
          <w:rFonts w:ascii="Times New Roman" w:hAnsi="Times New Roman" w:cs="Times New Roman"/>
          <w:sz w:val="24"/>
          <w:szCs w:val="24"/>
        </w:rPr>
        <w:t xml:space="preserve">acutezza </w:t>
      </w:r>
      <w:r w:rsidRPr="00C4795A">
        <w:rPr>
          <w:rFonts w:ascii="Times New Roman" w:hAnsi="Times New Roman" w:cs="Times New Roman"/>
          <w:sz w:val="24"/>
          <w:szCs w:val="24"/>
        </w:rPr>
        <w:t xml:space="preserve">discorre </w:t>
      </w:r>
      <w:proofErr w:type="spellStart"/>
      <w:r w:rsidRPr="00C4795A">
        <w:rPr>
          <w:rFonts w:ascii="Times New Roman" w:hAnsi="Times New Roman" w:cs="Times New Roman"/>
          <w:sz w:val="24"/>
          <w:szCs w:val="24"/>
        </w:rPr>
        <w:t>Saitto</w:t>
      </w:r>
      <w:proofErr w:type="spellEnd"/>
      <w:r w:rsidRPr="00C4795A">
        <w:rPr>
          <w:rFonts w:ascii="Times New Roman" w:hAnsi="Times New Roman" w:cs="Times New Roman"/>
          <w:sz w:val="24"/>
          <w:szCs w:val="24"/>
        </w:rPr>
        <w:t xml:space="preserve"> all’esito di un’accurata indagine sull</w:t>
      </w:r>
      <w:r w:rsidR="00236B3D" w:rsidRPr="00C4795A">
        <w:rPr>
          <w:rFonts w:ascii="Times New Roman" w:hAnsi="Times New Roman" w:cs="Times New Roman"/>
          <w:sz w:val="24"/>
          <w:szCs w:val="24"/>
        </w:rPr>
        <w:t xml:space="preserve">e tecniche processuali praticate </w:t>
      </w:r>
      <w:r w:rsidRPr="00C4795A">
        <w:rPr>
          <w:rFonts w:ascii="Times New Roman" w:hAnsi="Times New Roman" w:cs="Times New Roman"/>
          <w:sz w:val="24"/>
          <w:szCs w:val="24"/>
        </w:rPr>
        <w:t xml:space="preserve">dal </w:t>
      </w:r>
      <w:proofErr w:type="spellStart"/>
      <w:r w:rsidRPr="00C4795A">
        <w:rPr>
          <w:rFonts w:ascii="Times New Roman" w:hAnsi="Times New Roman" w:cs="Times New Roman"/>
          <w:i/>
          <w:iCs/>
          <w:sz w:val="24"/>
          <w:szCs w:val="24"/>
        </w:rPr>
        <w:t>Bundesver</w:t>
      </w:r>
      <w:r w:rsidR="000E39B0" w:rsidRPr="00C4795A">
        <w:rPr>
          <w:rFonts w:ascii="Times New Roman" w:hAnsi="Times New Roman" w:cs="Times New Roman"/>
          <w:i/>
          <w:iCs/>
          <w:sz w:val="24"/>
          <w:szCs w:val="24"/>
        </w:rPr>
        <w:t>f</w:t>
      </w:r>
      <w:r w:rsidRPr="00C4795A">
        <w:rPr>
          <w:rFonts w:ascii="Times New Roman" w:hAnsi="Times New Roman" w:cs="Times New Roman"/>
          <w:i/>
          <w:iCs/>
          <w:sz w:val="24"/>
          <w:szCs w:val="24"/>
        </w:rPr>
        <w:t>assungsgericht</w:t>
      </w:r>
      <w:proofErr w:type="spellEnd"/>
      <w:r w:rsidRPr="00C4795A">
        <w:rPr>
          <w:rStyle w:val="Rimandonotaapidipagina"/>
          <w:rFonts w:ascii="Times New Roman" w:hAnsi="Times New Roman" w:cs="Times New Roman"/>
          <w:sz w:val="24"/>
          <w:szCs w:val="24"/>
        </w:rPr>
        <w:footnoteReference w:id="64"/>
      </w:r>
      <w:r w:rsidRPr="00C4795A">
        <w:rPr>
          <w:rFonts w:ascii="Times New Roman" w:hAnsi="Times New Roman" w:cs="Times New Roman"/>
          <w:i/>
          <w:iCs/>
          <w:sz w:val="24"/>
          <w:szCs w:val="24"/>
        </w:rPr>
        <w:t xml:space="preserve"> </w:t>
      </w:r>
      <w:r w:rsidRPr="00C4795A">
        <w:rPr>
          <w:rFonts w:ascii="Times New Roman" w:hAnsi="Times New Roman" w:cs="Times New Roman"/>
          <w:sz w:val="24"/>
          <w:szCs w:val="24"/>
        </w:rPr>
        <w:t xml:space="preserve">potrebbe condurre non all’accostamento e all’integrazione, ma piuttosto all’isolamento del parametro interno dal parametro unionale e, quindi, al concorrente reciproco estraniarsi della tutela </w:t>
      </w:r>
      <w:r w:rsidR="00287F10" w:rsidRPr="00C4795A">
        <w:rPr>
          <w:rFonts w:ascii="Times New Roman" w:hAnsi="Times New Roman" w:cs="Times New Roman"/>
          <w:sz w:val="24"/>
          <w:szCs w:val="24"/>
        </w:rPr>
        <w:t>nazionale</w:t>
      </w:r>
      <w:r w:rsidRPr="00C4795A">
        <w:rPr>
          <w:rFonts w:ascii="Times New Roman" w:hAnsi="Times New Roman" w:cs="Times New Roman"/>
          <w:sz w:val="24"/>
          <w:szCs w:val="24"/>
        </w:rPr>
        <w:t xml:space="preserve"> ed europea, anziché all’integrazione dei rimedi in funzione di sostegno e complemento recip</w:t>
      </w:r>
      <w:r w:rsidR="000E39B0" w:rsidRPr="00C4795A">
        <w:rPr>
          <w:rFonts w:ascii="Times New Roman" w:hAnsi="Times New Roman" w:cs="Times New Roman"/>
          <w:sz w:val="24"/>
          <w:szCs w:val="24"/>
        </w:rPr>
        <w:t>r</w:t>
      </w:r>
      <w:r w:rsidRPr="00C4795A">
        <w:rPr>
          <w:rFonts w:ascii="Times New Roman" w:hAnsi="Times New Roman" w:cs="Times New Roman"/>
          <w:sz w:val="24"/>
          <w:szCs w:val="24"/>
        </w:rPr>
        <w:t>oco</w:t>
      </w:r>
      <w:r w:rsidR="00287F10" w:rsidRPr="00C4795A">
        <w:rPr>
          <w:rFonts w:ascii="Times New Roman" w:hAnsi="Times New Roman" w:cs="Times New Roman"/>
          <w:sz w:val="24"/>
          <w:szCs w:val="24"/>
        </w:rPr>
        <w:t>,</w:t>
      </w:r>
      <w:r w:rsidR="002763E4" w:rsidRPr="00C4795A">
        <w:rPr>
          <w:rFonts w:ascii="Times New Roman" w:hAnsi="Times New Roman" w:cs="Times New Roman"/>
          <w:sz w:val="24"/>
          <w:szCs w:val="24"/>
        </w:rPr>
        <w:t xml:space="preserve"> su cui insiste in modo in tutto condivisibile Giovanni Pitruzzella in un suo recente scritto</w:t>
      </w:r>
      <w:r w:rsidR="002763E4" w:rsidRPr="00C4795A">
        <w:rPr>
          <w:rStyle w:val="Rimandonotaapidipagina"/>
          <w:rFonts w:ascii="Times New Roman" w:hAnsi="Times New Roman" w:cs="Times New Roman"/>
          <w:sz w:val="24"/>
          <w:szCs w:val="24"/>
        </w:rPr>
        <w:footnoteReference w:id="65"/>
      </w:r>
      <w:r w:rsidRPr="00C4795A">
        <w:rPr>
          <w:rFonts w:ascii="Times New Roman" w:hAnsi="Times New Roman" w:cs="Times New Roman"/>
          <w:sz w:val="24"/>
          <w:szCs w:val="24"/>
        </w:rPr>
        <w:t>.</w:t>
      </w:r>
    </w:p>
    <w:p w14:paraId="7667C3DB" w14:textId="43F78986" w:rsidR="00B02BDF" w:rsidRPr="00C4795A" w:rsidRDefault="00A4639E" w:rsidP="00EE7CE6">
      <w:pPr>
        <w:pStyle w:val="Paragrafoelenco"/>
        <w:numPr>
          <w:ilvl w:val="0"/>
          <w:numId w:val="24"/>
        </w:numPr>
        <w:jc w:val="both"/>
        <w:rPr>
          <w:rFonts w:ascii="Times New Roman" w:hAnsi="Times New Roman" w:cs="Times New Roman"/>
          <w:sz w:val="24"/>
          <w:szCs w:val="24"/>
        </w:rPr>
      </w:pPr>
      <w:r w:rsidRPr="00C4795A">
        <w:rPr>
          <w:rFonts w:ascii="Times New Roman" w:hAnsi="Times New Roman" w:cs="Times New Roman"/>
          <w:sz w:val="24"/>
          <w:szCs w:val="24"/>
        </w:rPr>
        <w:t>Giorgio Repetto</w:t>
      </w:r>
      <w:r w:rsidRPr="00C4795A">
        <w:rPr>
          <w:rStyle w:val="Rimandonotaapidipagina"/>
          <w:rFonts w:ascii="Times New Roman" w:hAnsi="Times New Roman" w:cs="Times New Roman"/>
          <w:sz w:val="24"/>
          <w:szCs w:val="24"/>
        </w:rPr>
        <w:footnoteReference w:id="66"/>
      </w:r>
      <w:r w:rsidRPr="00C4795A">
        <w:rPr>
          <w:rFonts w:ascii="Times New Roman" w:hAnsi="Times New Roman" w:cs="Times New Roman"/>
          <w:sz w:val="24"/>
          <w:szCs w:val="24"/>
        </w:rPr>
        <w:t>, per parte sua, propone l’inversione dei rimedi giurisdizionali, dando priorità alla proposizione della </w:t>
      </w:r>
      <w:r w:rsidRPr="00C4795A">
        <w:rPr>
          <w:rFonts w:ascii="Times New Roman" w:hAnsi="Times New Roman" w:cs="Times New Roman"/>
          <w:i/>
          <w:iCs/>
          <w:sz w:val="24"/>
          <w:szCs w:val="24"/>
        </w:rPr>
        <w:t>quaestio</w:t>
      </w:r>
      <w:r w:rsidRPr="00C4795A">
        <w:rPr>
          <w:rFonts w:ascii="Times New Roman" w:hAnsi="Times New Roman" w:cs="Times New Roman"/>
          <w:sz w:val="24"/>
          <w:szCs w:val="24"/>
        </w:rPr>
        <w:t xml:space="preserve">, ma lasciando libero il giudice comune di disapplicare </w:t>
      </w:r>
      <w:r w:rsidRPr="00C4795A">
        <w:rPr>
          <w:rFonts w:ascii="Times New Roman" w:hAnsi="Times New Roman" w:cs="Times New Roman"/>
          <w:sz w:val="24"/>
          <w:szCs w:val="24"/>
        </w:rPr>
        <w:lastRenderedPageBreak/>
        <w:t>la norma anti-comunitaria </w:t>
      </w:r>
      <w:r w:rsidRPr="00C4795A">
        <w:rPr>
          <w:rFonts w:ascii="Times New Roman" w:hAnsi="Times New Roman" w:cs="Times New Roman"/>
          <w:i/>
          <w:iCs/>
          <w:sz w:val="24"/>
          <w:szCs w:val="24"/>
        </w:rPr>
        <w:t>in pendenza</w:t>
      </w:r>
      <w:r w:rsidRPr="00C4795A">
        <w:rPr>
          <w:rFonts w:ascii="Times New Roman" w:hAnsi="Times New Roman" w:cs="Times New Roman"/>
          <w:sz w:val="24"/>
          <w:szCs w:val="24"/>
        </w:rPr>
        <w:t> del giudizio costituzionale</w:t>
      </w:r>
      <w:r w:rsidR="00880F50" w:rsidRPr="00C4795A">
        <w:rPr>
          <w:rFonts w:ascii="Times New Roman" w:hAnsi="Times New Roman" w:cs="Times New Roman"/>
          <w:sz w:val="24"/>
          <w:szCs w:val="24"/>
        </w:rPr>
        <w:t xml:space="preserve">, </w:t>
      </w:r>
      <w:r w:rsidR="00006F02" w:rsidRPr="00C4795A">
        <w:rPr>
          <w:rFonts w:ascii="Times New Roman" w:hAnsi="Times New Roman" w:cs="Times New Roman"/>
          <w:sz w:val="24"/>
          <w:szCs w:val="24"/>
        </w:rPr>
        <w:t xml:space="preserve">come certamente è possibile in base alla giurisprudenza </w:t>
      </w:r>
      <w:r w:rsidR="00454758" w:rsidRPr="00C4795A">
        <w:rPr>
          <w:rFonts w:ascii="Times New Roman" w:hAnsi="Times New Roman" w:cs="Times New Roman"/>
          <w:sz w:val="24"/>
          <w:szCs w:val="24"/>
        </w:rPr>
        <w:t>della Corte di giustizia</w:t>
      </w:r>
      <w:r w:rsidR="00454758" w:rsidRPr="00C4795A">
        <w:rPr>
          <w:rStyle w:val="Rimandonotaapidipagina"/>
          <w:rFonts w:ascii="Times New Roman" w:hAnsi="Times New Roman" w:cs="Times New Roman"/>
          <w:sz w:val="24"/>
          <w:szCs w:val="24"/>
        </w:rPr>
        <w:footnoteReference w:id="67"/>
      </w:r>
      <w:r w:rsidRPr="00C4795A">
        <w:rPr>
          <w:rFonts w:ascii="Times New Roman" w:hAnsi="Times New Roman" w:cs="Times New Roman"/>
          <w:sz w:val="24"/>
          <w:szCs w:val="24"/>
        </w:rPr>
        <w:t>. Questa posizione corrisponde all’esigenza processuale di preservare il requisito della rilevanza, che sussiste nel momento in cui la questione viene sollevata e viene meno solo successivamente</w:t>
      </w:r>
      <w:r w:rsidR="0056005A" w:rsidRPr="00C4795A">
        <w:rPr>
          <w:rFonts w:ascii="Times New Roman" w:hAnsi="Times New Roman" w:cs="Times New Roman"/>
          <w:sz w:val="24"/>
          <w:szCs w:val="24"/>
        </w:rPr>
        <w:t xml:space="preserve">, quando, incardinata la </w:t>
      </w:r>
      <w:r w:rsidR="0056005A" w:rsidRPr="00C4795A">
        <w:rPr>
          <w:rFonts w:ascii="Times New Roman" w:hAnsi="Times New Roman" w:cs="Times New Roman"/>
          <w:i/>
          <w:iCs/>
          <w:sz w:val="24"/>
          <w:szCs w:val="24"/>
        </w:rPr>
        <w:t>quaestio</w:t>
      </w:r>
      <w:r w:rsidR="0056005A" w:rsidRPr="00C4795A">
        <w:rPr>
          <w:rFonts w:ascii="Times New Roman" w:hAnsi="Times New Roman" w:cs="Times New Roman"/>
          <w:sz w:val="24"/>
          <w:szCs w:val="24"/>
        </w:rPr>
        <w:t xml:space="preserve">, il giudice comune </w:t>
      </w:r>
      <w:r w:rsidR="00405923" w:rsidRPr="00C4795A">
        <w:rPr>
          <w:rFonts w:ascii="Times New Roman" w:hAnsi="Times New Roman" w:cs="Times New Roman"/>
          <w:sz w:val="24"/>
          <w:szCs w:val="24"/>
        </w:rPr>
        <w:t xml:space="preserve">procede alla </w:t>
      </w:r>
      <w:r w:rsidR="0056005A" w:rsidRPr="00C4795A">
        <w:rPr>
          <w:rFonts w:ascii="Times New Roman" w:hAnsi="Times New Roman" w:cs="Times New Roman"/>
          <w:sz w:val="24"/>
          <w:szCs w:val="24"/>
        </w:rPr>
        <w:t>disapplica</w:t>
      </w:r>
      <w:r w:rsidR="00405923" w:rsidRPr="00C4795A">
        <w:rPr>
          <w:rFonts w:ascii="Times New Roman" w:hAnsi="Times New Roman" w:cs="Times New Roman"/>
          <w:sz w:val="24"/>
          <w:szCs w:val="24"/>
        </w:rPr>
        <w:t xml:space="preserve">zione </w:t>
      </w:r>
      <w:proofErr w:type="gramStart"/>
      <w:r w:rsidR="00405923" w:rsidRPr="00C4795A">
        <w:rPr>
          <w:rFonts w:ascii="Times New Roman" w:hAnsi="Times New Roman" w:cs="Times New Roman"/>
          <w:i/>
          <w:iCs/>
          <w:sz w:val="24"/>
          <w:szCs w:val="24"/>
        </w:rPr>
        <w:t>inter partes</w:t>
      </w:r>
      <w:proofErr w:type="gramEnd"/>
      <w:r w:rsidR="00405923" w:rsidRPr="00C4795A">
        <w:rPr>
          <w:rFonts w:ascii="Times New Roman" w:hAnsi="Times New Roman" w:cs="Times New Roman"/>
          <w:sz w:val="24"/>
          <w:szCs w:val="24"/>
        </w:rPr>
        <w:t xml:space="preserve"> della norma </w:t>
      </w:r>
      <w:r w:rsidR="00520EA9" w:rsidRPr="00C4795A">
        <w:rPr>
          <w:rFonts w:ascii="Times New Roman" w:hAnsi="Times New Roman" w:cs="Times New Roman"/>
          <w:sz w:val="24"/>
          <w:szCs w:val="24"/>
        </w:rPr>
        <w:t xml:space="preserve">sottoposta a scrutinio. </w:t>
      </w:r>
      <w:r w:rsidRPr="00C4795A">
        <w:rPr>
          <w:rFonts w:ascii="Times New Roman" w:hAnsi="Times New Roman" w:cs="Times New Roman"/>
          <w:sz w:val="24"/>
          <w:szCs w:val="24"/>
        </w:rPr>
        <w:t xml:space="preserve">Se posso così definirla, la “rilevanza a disattivazione programmata” </w:t>
      </w:r>
      <w:r w:rsidR="00BF1329" w:rsidRPr="00C4795A">
        <w:rPr>
          <w:rFonts w:ascii="Times New Roman" w:hAnsi="Times New Roman" w:cs="Times New Roman"/>
          <w:sz w:val="24"/>
          <w:szCs w:val="24"/>
        </w:rPr>
        <w:t xml:space="preserve">immaginata da Repetto </w:t>
      </w:r>
      <w:r w:rsidR="00520EA9" w:rsidRPr="00C4795A">
        <w:rPr>
          <w:rFonts w:ascii="Times New Roman" w:hAnsi="Times New Roman" w:cs="Times New Roman"/>
          <w:sz w:val="24"/>
          <w:szCs w:val="24"/>
        </w:rPr>
        <w:t>permette il rituale incardinamento del giudizio incidentale</w:t>
      </w:r>
      <w:r w:rsidR="00E44A99" w:rsidRPr="00C4795A">
        <w:rPr>
          <w:rStyle w:val="Rimandonotaapidipagina"/>
          <w:rFonts w:ascii="Times New Roman" w:hAnsi="Times New Roman" w:cs="Times New Roman"/>
          <w:sz w:val="24"/>
          <w:szCs w:val="24"/>
        </w:rPr>
        <w:footnoteReference w:id="68"/>
      </w:r>
      <w:r w:rsidR="00520EA9" w:rsidRPr="00C4795A">
        <w:rPr>
          <w:rFonts w:ascii="Times New Roman" w:hAnsi="Times New Roman" w:cs="Times New Roman"/>
          <w:sz w:val="24"/>
          <w:szCs w:val="24"/>
        </w:rPr>
        <w:t xml:space="preserve"> </w:t>
      </w:r>
      <w:bookmarkStart w:id="3" w:name="m_365091178468751998__ftnref4"/>
      <w:r w:rsidR="003D6C9D" w:rsidRPr="00C4795A">
        <w:rPr>
          <w:rFonts w:ascii="Times New Roman" w:hAnsi="Times New Roman" w:cs="Times New Roman"/>
          <w:sz w:val="24"/>
          <w:szCs w:val="24"/>
        </w:rPr>
        <w:t xml:space="preserve">e, </w:t>
      </w:r>
      <w:bookmarkEnd w:id="3"/>
      <w:r w:rsidR="00442724" w:rsidRPr="00C4795A">
        <w:rPr>
          <w:rFonts w:ascii="Times New Roman" w:hAnsi="Times New Roman" w:cs="Times New Roman"/>
          <w:sz w:val="24"/>
          <w:szCs w:val="24"/>
        </w:rPr>
        <w:t>immediatamente dopo, la disapplicazione</w:t>
      </w:r>
      <w:r w:rsidR="001B2D9C" w:rsidRPr="00C4795A">
        <w:rPr>
          <w:rFonts w:ascii="Times New Roman" w:hAnsi="Times New Roman" w:cs="Times New Roman"/>
          <w:sz w:val="24"/>
          <w:szCs w:val="24"/>
        </w:rPr>
        <w:t xml:space="preserve"> della norma-oggetto</w:t>
      </w:r>
      <w:r w:rsidR="00C70CEE" w:rsidRPr="00C4795A">
        <w:rPr>
          <w:rFonts w:ascii="Times New Roman" w:hAnsi="Times New Roman" w:cs="Times New Roman"/>
          <w:sz w:val="24"/>
          <w:szCs w:val="24"/>
        </w:rPr>
        <w:t>, senza tuttavia giungere alla contestualità dei rimedi interno e unionale</w:t>
      </w:r>
      <w:r w:rsidRPr="00C4795A">
        <w:rPr>
          <w:rFonts w:ascii="Times New Roman" w:hAnsi="Times New Roman" w:cs="Times New Roman"/>
          <w:sz w:val="24"/>
          <w:szCs w:val="24"/>
        </w:rPr>
        <w:t xml:space="preserve">. </w:t>
      </w:r>
    </w:p>
    <w:p w14:paraId="61F8D82E" w14:textId="65ADA85C" w:rsidR="00FF3EEB" w:rsidRPr="00C4795A" w:rsidRDefault="00A4639E" w:rsidP="00A4639E">
      <w:pPr>
        <w:jc w:val="both"/>
        <w:rPr>
          <w:rFonts w:ascii="Times New Roman" w:hAnsi="Times New Roman" w:cs="Times New Roman"/>
          <w:sz w:val="24"/>
          <w:szCs w:val="24"/>
        </w:rPr>
      </w:pPr>
      <w:r w:rsidRPr="00C4795A">
        <w:rPr>
          <w:rFonts w:ascii="Times New Roman" w:hAnsi="Times New Roman" w:cs="Times New Roman"/>
          <w:sz w:val="24"/>
          <w:szCs w:val="24"/>
        </w:rPr>
        <w:t xml:space="preserve">La proposta </w:t>
      </w:r>
      <w:r w:rsidR="008B38FF" w:rsidRPr="00C4795A">
        <w:rPr>
          <w:rFonts w:ascii="Times New Roman" w:hAnsi="Times New Roman" w:cs="Times New Roman"/>
          <w:sz w:val="24"/>
          <w:szCs w:val="24"/>
        </w:rPr>
        <w:t xml:space="preserve">è </w:t>
      </w:r>
      <w:r w:rsidR="00000D7D" w:rsidRPr="00C4795A">
        <w:rPr>
          <w:rFonts w:ascii="Times New Roman" w:hAnsi="Times New Roman" w:cs="Times New Roman"/>
          <w:sz w:val="24"/>
          <w:szCs w:val="24"/>
        </w:rPr>
        <w:t xml:space="preserve">indubbiamente </w:t>
      </w:r>
      <w:r w:rsidRPr="00C4795A">
        <w:rPr>
          <w:rFonts w:ascii="Times New Roman" w:hAnsi="Times New Roman" w:cs="Times New Roman"/>
          <w:sz w:val="24"/>
          <w:szCs w:val="24"/>
        </w:rPr>
        <w:t xml:space="preserve">ingegnosa, ma si espone ancora a un rilievo nell’ottica del diritto dell’Unione. </w:t>
      </w:r>
      <w:r w:rsidR="00A4528D" w:rsidRPr="00C4795A">
        <w:rPr>
          <w:rFonts w:ascii="Times New Roman" w:hAnsi="Times New Roman" w:cs="Times New Roman"/>
          <w:sz w:val="24"/>
          <w:szCs w:val="24"/>
        </w:rPr>
        <w:t xml:space="preserve">Prima di disapplicare, infatti, il giudice dovrà attendere </w:t>
      </w:r>
      <w:r w:rsidRPr="00C4795A">
        <w:rPr>
          <w:rFonts w:ascii="Times New Roman" w:hAnsi="Times New Roman" w:cs="Times New Roman"/>
          <w:sz w:val="24"/>
          <w:szCs w:val="24"/>
        </w:rPr>
        <w:t>l’incardinamento della </w:t>
      </w:r>
      <w:r w:rsidRPr="00C4795A">
        <w:rPr>
          <w:rFonts w:ascii="Times New Roman" w:hAnsi="Times New Roman" w:cs="Times New Roman"/>
          <w:i/>
          <w:iCs/>
          <w:sz w:val="24"/>
          <w:szCs w:val="24"/>
        </w:rPr>
        <w:t xml:space="preserve">quaestio </w:t>
      </w:r>
      <w:proofErr w:type="spellStart"/>
      <w:r w:rsidRPr="00C4795A">
        <w:rPr>
          <w:rFonts w:ascii="Times New Roman" w:hAnsi="Times New Roman" w:cs="Times New Roman"/>
          <w:i/>
          <w:iCs/>
          <w:sz w:val="24"/>
          <w:szCs w:val="24"/>
        </w:rPr>
        <w:t>legitimitatis</w:t>
      </w:r>
      <w:proofErr w:type="spellEnd"/>
      <w:r w:rsidRPr="00C4795A">
        <w:rPr>
          <w:rFonts w:ascii="Times New Roman" w:hAnsi="Times New Roman" w:cs="Times New Roman"/>
          <w:sz w:val="24"/>
          <w:szCs w:val="24"/>
        </w:rPr>
        <w:t> </w:t>
      </w:r>
      <w:r w:rsidR="003F4676" w:rsidRPr="00C4795A">
        <w:rPr>
          <w:rFonts w:ascii="Times New Roman" w:hAnsi="Times New Roman" w:cs="Times New Roman"/>
          <w:sz w:val="24"/>
          <w:szCs w:val="24"/>
        </w:rPr>
        <w:t xml:space="preserve">e questo </w:t>
      </w:r>
      <w:r w:rsidRPr="00C4795A">
        <w:rPr>
          <w:rFonts w:ascii="Times New Roman" w:hAnsi="Times New Roman" w:cs="Times New Roman"/>
          <w:sz w:val="24"/>
          <w:szCs w:val="24"/>
        </w:rPr>
        <w:t>equivale</w:t>
      </w:r>
      <w:r w:rsidR="005729E9" w:rsidRPr="00C4795A">
        <w:rPr>
          <w:rFonts w:ascii="Times New Roman" w:hAnsi="Times New Roman" w:cs="Times New Roman"/>
          <w:sz w:val="24"/>
          <w:szCs w:val="24"/>
        </w:rPr>
        <w:t xml:space="preserve"> </w:t>
      </w:r>
      <w:r w:rsidRPr="00C4795A">
        <w:rPr>
          <w:rFonts w:ascii="Times New Roman" w:hAnsi="Times New Roman" w:cs="Times New Roman"/>
          <w:sz w:val="24"/>
          <w:szCs w:val="24"/>
        </w:rPr>
        <w:t>a una </w:t>
      </w:r>
      <w:r w:rsidRPr="00C4795A">
        <w:rPr>
          <w:rFonts w:ascii="Times New Roman" w:hAnsi="Times New Roman" w:cs="Times New Roman"/>
          <w:i/>
          <w:iCs/>
          <w:sz w:val="24"/>
          <w:szCs w:val="24"/>
        </w:rPr>
        <w:t>sospensione della disapplicazione</w:t>
      </w:r>
      <w:r w:rsidRPr="00C4795A">
        <w:rPr>
          <w:rFonts w:ascii="Times New Roman" w:hAnsi="Times New Roman" w:cs="Times New Roman"/>
          <w:sz w:val="24"/>
          <w:szCs w:val="24"/>
        </w:rPr>
        <w:t xml:space="preserve">, </w:t>
      </w:r>
      <w:r w:rsidR="00511991" w:rsidRPr="00C4795A">
        <w:rPr>
          <w:rFonts w:ascii="Times New Roman" w:hAnsi="Times New Roman" w:cs="Times New Roman"/>
          <w:sz w:val="24"/>
          <w:szCs w:val="24"/>
        </w:rPr>
        <w:t xml:space="preserve">ancorché </w:t>
      </w:r>
      <w:r w:rsidR="003F4676" w:rsidRPr="00C4795A">
        <w:rPr>
          <w:rFonts w:ascii="Times New Roman" w:hAnsi="Times New Roman" w:cs="Times New Roman"/>
          <w:sz w:val="24"/>
          <w:szCs w:val="24"/>
        </w:rPr>
        <w:t>i</w:t>
      </w:r>
      <w:r w:rsidRPr="00C4795A">
        <w:rPr>
          <w:rFonts w:ascii="Times New Roman" w:hAnsi="Times New Roman" w:cs="Times New Roman"/>
          <w:sz w:val="24"/>
          <w:szCs w:val="24"/>
        </w:rPr>
        <w:t xml:space="preserve">l giudice </w:t>
      </w:r>
      <w:r w:rsidR="00511991" w:rsidRPr="00C4795A">
        <w:rPr>
          <w:rFonts w:ascii="Times New Roman" w:hAnsi="Times New Roman" w:cs="Times New Roman"/>
          <w:sz w:val="24"/>
          <w:szCs w:val="24"/>
        </w:rPr>
        <w:t xml:space="preserve">ne abbia </w:t>
      </w:r>
      <w:r w:rsidRPr="00C4795A">
        <w:rPr>
          <w:rFonts w:ascii="Times New Roman" w:hAnsi="Times New Roman" w:cs="Times New Roman"/>
          <w:sz w:val="24"/>
          <w:szCs w:val="24"/>
        </w:rPr>
        <w:t>accertat</w:t>
      </w:r>
      <w:r w:rsidR="00511991" w:rsidRPr="00C4795A">
        <w:rPr>
          <w:rFonts w:ascii="Times New Roman" w:hAnsi="Times New Roman" w:cs="Times New Roman"/>
          <w:sz w:val="24"/>
          <w:szCs w:val="24"/>
        </w:rPr>
        <w:t>o</w:t>
      </w:r>
      <w:r w:rsidRPr="00C4795A">
        <w:rPr>
          <w:rFonts w:ascii="Times New Roman" w:hAnsi="Times New Roman" w:cs="Times New Roman"/>
          <w:sz w:val="24"/>
          <w:szCs w:val="24"/>
        </w:rPr>
        <w:t xml:space="preserve"> i presupposti. Si risolve</w:t>
      </w:r>
      <w:r w:rsidR="00000D7D" w:rsidRPr="00C4795A">
        <w:rPr>
          <w:rFonts w:ascii="Times New Roman" w:hAnsi="Times New Roman" w:cs="Times New Roman"/>
          <w:sz w:val="24"/>
          <w:szCs w:val="24"/>
        </w:rPr>
        <w:t>,</w:t>
      </w:r>
      <w:r w:rsidRPr="00C4795A">
        <w:rPr>
          <w:rFonts w:ascii="Times New Roman" w:hAnsi="Times New Roman" w:cs="Times New Roman"/>
          <w:sz w:val="24"/>
          <w:szCs w:val="24"/>
        </w:rPr>
        <w:t xml:space="preserve"> perciò</w:t>
      </w:r>
      <w:r w:rsidR="00000D7D" w:rsidRPr="00C4795A">
        <w:rPr>
          <w:rFonts w:ascii="Times New Roman" w:hAnsi="Times New Roman" w:cs="Times New Roman"/>
          <w:sz w:val="24"/>
          <w:szCs w:val="24"/>
        </w:rPr>
        <w:t>,</w:t>
      </w:r>
      <w:r w:rsidRPr="00C4795A">
        <w:rPr>
          <w:rFonts w:ascii="Times New Roman" w:hAnsi="Times New Roman" w:cs="Times New Roman"/>
          <w:sz w:val="24"/>
          <w:szCs w:val="24"/>
        </w:rPr>
        <w:t xml:space="preserve"> in un differimento della diretta efficacia della norma UE</w:t>
      </w:r>
      <w:r w:rsidR="009172D2" w:rsidRPr="00C4795A">
        <w:rPr>
          <w:rFonts w:ascii="Times New Roman" w:hAnsi="Times New Roman" w:cs="Times New Roman"/>
          <w:sz w:val="24"/>
          <w:szCs w:val="24"/>
        </w:rPr>
        <w:t>,</w:t>
      </w:r>
      <w:r w:rsidRPr="00C4795A">
        <w:rPr>
          <w:rFonts w:ascii="Times New Roman" w:hAnsi="Times New Roman" w:cs="Times New Roman"/>
          <w:sz w:val="24"/>
          <w:szCs w:val="24"/>
        </w:rPr>
        <w:t xml:space="preserve"> </w:t>
      </w:r>
      <w:r w:rsidR="000E39B0" w:rsidRPr="00C4795A">
        <w:rPr>
          <w:rFonts w:ascii="Times New Roman" w:hAnsi="Times New Roman" w:cs="Times New Roman"/>
          <w:sz w:val="24"/>
          <w:szCs w:val="24"/>
        </w:rPr>
        <w:t>il che non pare facilmente conciliabile</w:t>
      </w:r>
      <w:r w:rsidR="009172D2" w:rsidRPr="00C4795A">
        <w:rPr>
          <w:rFonts w:ascii="Times New Roman" w:hAnsi="Times New Roman" w:cs="Times New Roman"/>
          <w:sz w:val="24"/>
          <w:szCs w:val="24"/>
        </w:rPr>
        <w:t xml:space="preserve"> </w:t>
      </w:r>
      <w:r w:rsidR="000E39B0" w:rsidRPr="00C4795A">
        <w:rPr>
          <w:rFonts w:ascii="Times New Roman" w:hAnsi="Times New Roman" w:cs="Times New Roman"/>
          <w:sz w:val="24"/>
          <w:szCs w:val="24"/>
        </w:rPr>
        <w:t xml:space="preserve">con la tetragona </w:t>
      </w:r>
      <w:r w:rsidRPr="00C4795A">
        <w:rPr>
          <w:rFonts w:ascii="Times New Roman" w:hAnsi="Times New Roman" w:cs="Times New Roman"/>
          <w:sz w:val="24"/>
          <w:szCs w:val="24"/>
        </w:rPr>
        <w:t>posizione della Corte di giustizia che considera indefettibile elemento costitutivo del primato del diritto UE l’obbligo di immediata applicazione della norma unionale direttamente efficace e la conseguente immediata disapplicazione del diritto interno con esso contrastante, «anche se l’ostacolo in tal modo frapposto alla piena efficacia di tale diritto fosse soltanto temporaneo»</w:t>
      </w:r>
      <w:r w:rsidRPr="00C4795A">
        <w:rPr>
          <w:rStyle w:val="Rimandonotaapidipagina"/>
          <w:rFonts w:ascii="Times New Roman" w:hAnsi="Times New Roman" w:cs="Times New Roman"/>
          <w:sz w:val="24"/>
          <w:szCs w:val="24"/>
        </w:rPr>
        <w:footnoteReference w:id="69"/>
      </w:r>
      <w:r w:rsidRPr="00C4795A">
        <w:rPr>
          <w:rFonts w:ascii="Times New Roman" w:hAnsi="Times New Roman" w:cs="Times New Roman"/>
          <w:sz w:val="24"/>
          <w:szCs w:val="24"/>
        </w:rPr>
        <w:t>.</w:t>
      </w:r>
      <w:r w:rsidR="000E39B0" w:rsidRPr="00C4795A">
        <w:rPr>
          <w:rFonts w:ascii="Times New Roman" w:hAnsi="Times New Roman" w:cs="Times New Roman"/>
          <w:sz w:val="24"/>
          <w:szCs w:val="24"/>
        </w:rPr>
        <w:t xml:space="preserve"> </w:t>
      </w:r>
      <w:r w:rsidR="00382FE6" w:rsidRPr="00C4795A">
        <w:rPr>
          <w:rFonts w:ascii="Times New Roman" w:hAnsi="Times New Roman" w:cs="Times New Roman"/>
          <w:sz w:val="24"/>
          <w:szCs w:val="24"/>
        </w:rPr>
        <w:t>S</w:t>
      </w:r>
      <w:r w:rsidR="00FF3EEB" w:rsidRPr="00C4795A">
        <w:rPr>
          <w:rFonts w:ascii="Times New Roman" w:hAnsi="Times New Roman" w:cs="Times New Roman"/>
          <w:sz w:val="24"/>
          <w:szCs w:val="24"/>
        </w:rPr>
        <w:t xml:space="preserve">enza considerare che la disapplicazione verrebbe disposta dal rimettente in pendenza del regime di sospensione del giudizio </w:t>
      </w:r>
      <w:r w:rsidR="00FF3EEB" w:rsidRPr="00C4795A">
        <w:rPr>
          <w:rFonts w:ascii="Times New Roman" w:hAnsi="Times New Roman" w:cs="Times New Roman"/>
          <w:i/>
          <w:iCs/>
          <w:sz w:val="24"/>
          <w:szCs w:val="24"/>
        </w:rPr>
        <w:t>a quo</w:t>
      </w:r>
      <w:r w:rsidR="00FF3EEB" w:rsidRPr="00C4795A">
        <w:rPr>
          <w:rFonts w:ascii="Times New Roman" w:hAnsi="Times New Roman" w:cs="Times New Roman"/>
          <w:sz w:val="24"/>
          <w:szCs w:val="24"/>
        </w:rPr>
        <w:t>, così derogando</w:t>
      </w:r>
      <w:r w:rsidR="00382FE6" w:rsidRPr="00C4795A">
        <w:rPr>
          <w:rFonts w:ascii="Times New Roman" w:hAnsi="Times New Roman" w:cs="Times New Roman"/>
          <w:sz w:val="24"/>
          <w:szCs w:val="24"/>
        </w:rPr>
        <w:t xml:space="preserve"> </w:t>
      </w:r>
      <w:r w:rsidR="00FF3EEB" w:rsidRPr="00C4795A">
        <w:rPr>
          <w:rFonts w:ascii="Times New Roman" w:hAnsi="Times New Roman" w:cs="Times New Roman"/>
          <w:sz w:val="24"/>
          <w:szCs w:val="24"/>
        </w:rPr>
        <w:t>all’art. 23 della legge n. 87 del 1953</w:t>
      </w:r>
      <w:r w:rsidR="00FF3EEB" w:rsidRPr="00C4795A">
        <w:rPr>
          <w:rStyle w:val="Rimandonotaapidipagina"/>
          <w:rFonts w:ascii="Times New Roman" w:hAnsi="Times New Roman" w:cs="Times New Roman"/>
          <w:sz w:val="24"/>
          <w:szCs w:val="24"/>
        </w:rPr>
        <w:footnoteReference w:id="70"/>
      </w:r>
      <w:r w:rsidR="00FF3EEB" w:rsidRPr="00C4795A">
        <w:rPr>
          <w:rFonts w:ascii="Times New Roman" w:hAnsi="Times New Roman" w:cs="Times New Roman"/>
          <w:sz w:val="24"/>
          <w:szCs w:val="24"/>
        </w:rPr>
        <w:t>.</w:t>
      </w:r>
    </w:p>
    <w:p w14:paraId="46582BDE" w14:textId="58DCCBA5" w:rsidR="006F6F0C" w:rsidRPr="00C4795A" w:rsidRDefault="00FF3EEB" w:rsidP="006F6F0C">
      <w:pPr>
        <w:pStyle w:val="Paragrafoelenco"/>
        <w:numPr>
          <w:ilvl w:val="0"/>
          <w:numId w:val="24"/>
        </w:numPr>
        <w:jc w:val="both"/>
        <w:rPr>
          <w:rFonts w:ascii="Times New Roman" w:hAnsi="Times New Roman" w:cs="Times New Roman"/>
          <w:sz w:val="24"/>
          <w:szCs w:val="24"/>
        </w:rPr>
      </w:pPr>
      <w:r w:rsidRPr="00C4795A">
        <w:rPr>
          <w:rFonts w:ascii="Times New Roman" w:hAnsi="Times New Roman" w:cs="Times New Roman"/>
          <w:sz w:val="24"/>
          <w:szCs w:val="24"/>
        </w:rPr>
        <w:t xml:space="preserve">In </w:t>
      </w:r>
      <w:r w:rsidR="005423FC" w:rsidRPr="00C4795A">
        <w:rPr>
          <w:rFonts w:ascii="Times New Roman" w:hAnsi="Times New Roman" w:cs="Times New Roman"/>
          <w:sz w:val="24"/>
          <w:szCs w:val="24"/>
        </w:rPr>
        <w:t xml:space="preserve">questa medesima </w:t>
      </w:r>
      <w:r w:rsidRPr="00C4795A">
        <w:rPr>
          <w:rFonts w:ascii="Times New Roman" w:hAnsi="Times New Roman" w:cs="Times New Roman"/>
          <w:sz w:val="24"/>
          <w:szCs w:val="24"/>
        </w:rPr>
        <w:t>difficoltà</w:t>
      </w:r>
      <w:r w:rsidR="00A4639E" w:rsidRPr="00C4795A">
        <w:rPr>
          <w:rFonts w:ascii="Times New Roman" w:hAnsi="Times New Roman" w:cs="Times New Roman"/>
          <w:sz w:val="24"/>
          <w:szCs w:val="24"/>
        </w:rPr>
        <w:t xml:space="preserve"> si imbatte </w:t>
      </w:r>
      <w:r w:rsidRPr="00C4795A">
        <w:rPr>
          <w:rFonts w:ascii="Times New Roman" w:hAnsi="Times New Roman" w:cs="Times New Roman"/>
          <w:sz w:val="24"/>
          <w:szCs w:val="24"/>
        </w:rPr>
        <w:t xml:space="preserve">anche </w:t>
      </w:r>
      <w:r w:rsidR="00A4639E" w:rsidRPr="00C4795A">
        <w:rPr>
          <w:rFonts w:ascii="Times New Roman" w:hAnsi="Times New Roman" w:cs="Times New Roman"/>
          <w:sz w:val="24"/>
          <w:szCs w:val="24"/>
        </w:rPr>
        <w:t>la proposta di Andrea Chiappetta</w:t>
      </w:r>
      <w:r w:rsidR="00A4639E" w:rsidRPr="00C4795A">
        <w:rPr>
          <w:rStyle w:val="Rimandonotaapidipagina"/>
          <w:rFonts w:ascii="Times New Roman" w:hAnsi="Times New Roman" w:cs="Times New Roman"/>
          <w:sz w:val="24"/>
          <w:szCs w:val="24"/>
        </w:rPr>
        <w:footnoteReference w:id="71"/>
      </w:r>
      <w:r w:rsidR="00A4639E" w:rsidRPr="00C4795A">
        <w:rPr>
          <w:rFonts w:ascii="Times New Roman" w:hAnsi="Times New Roman" w:cs="Times New Roman"/>
          <w:sz w:val="24"/>
          <w:szCs w:val="24"/>
        </w:rPr>
        <w:t xml:space="preserve">, che suggerisce </w:t>
      </w:r>
      <w:r w:rsidR="008665E5" w:rsidRPr="00C4795A">
        <w:rPr>
          <w:rFonts w:ascii="Times New Roman" w:hAnsi="Times New Roman" w:cs="Times New Roman"/>
          <w:sz w:val="24"/>
          <w:szCs w:val="24"/>
        </w:rPr>
        <w:t xml:space="preserve">alla Corte di </w:t>
      </w:r>
      <w:r w:rsidR="00A4639E" w:rsidRPr="00C4795A">
        <w:rPr>
          <w:rFonts w:ascii="Times New Roman" w:hAnsi="Times New Roman" w:cs="Times New Roman"/>
          <w:sz w:val="24"/>
          <w:szCs w:val="24"/>
        </w:rPr>
        <w:t>tratta</w:t>
      </w:r>
      <w:r w:rsidR="008665E5" w:rsidRPr="00C4795A">
        <w:rPr>
          <w:rFonts w:ascii="Times New Roman" w:hAnsi="Times New Roman" w:cs="Times New Roman"/>
          <w:sz w:val="24"/>
          <w:szCs w:val="24"/>
        </w:rPr>
        <w:t>re</w:t>
      </w:r>
      <w:r w:rsidR="00A4639E" w:rsidRPr="00C4795A">
        <w:rPr>
          <w:rFonts w:ascii="Times New Roman" w:hAnsi="Times New Roman" w:cs="Times New Roman"/>
          <w:sz w:val="24"/>
          <w:szCs w:val="24"/>
        </w:rPr>
        <w:t xml:space="preserve"> in sede cautelare tutte le questioni </w:t>
      </w:r>
      <w:r w:rsidR="00BB628B" w:rsidRPr="00C4795A">
        <w:rPr>
          <w:rFonts w:ascii="Times New Roman" w:hAnsi="Times New Roman" w:cs="Times New Roman"/>
          <w:sz w:val="24"/>
          <w:szCs w:val="24"/>
        </w:rPr>
        <w:t xml:space="preserve">con </w:t>
      </w:r>
      <w:r w:rsidR="00A4639E" w:rsidRPr="00C4795A">
        <w:rPr>
          <w:rFonts w:ascii="Times New Roman" w:hAnsi="Times New Roman" w:cs="Times New Roman"/>
          <w:sz w:val="24"/>
          <w:szCs w:val="24"/>
        </w:rPr>
        <w:t xml:space="preserve">‘doppio </w:t>
      </w:r>
      <w:proofErr w:type="spellStart"/>
      <w:r w:rsidR="00A4639E" w:rsidRPr="00C4795A">
        <w:rPr>
          <w:rFonts w:ascii="Times New Roman" w:hAnsi="Times New Roman" w:cs="Times New Roman"/>
          <w:sz w:val="24"/>
          <w:szCs w:val="24"/>
        </w:rPr>
        <w:t>parametro’</w:t>
      </w:r>
      <w:proofErr w:type="spellEnd"/>
      <w:r w:rsidR="00A4639E" w:rsidRPr="00C4795A">
        <w:rPr>
          <w:rFonts w:ascii="Times New Roman" w:hAnsi="Times New Roman" w:cs="Times New Roman"/>
          <w:sz w:val="24"/>
          <w:szCs w:val="24"/>
        </w:rPr>
        <w:t xml:space="preserve">, in modo da accelerare </w:t>
      </w:r>
      <w:r w:rsidR="00CA7285" w:rsidRPr="00C4795A">
        <w:rPr>
          <w:rFonts w:ascii="Times New Roman" w:hAnsi="Times New Roman" w:cs="Times New Roman"/>
          <w:sz w:val="24"/>
          <w:szCs w:val="24"/>
        </w:rPr>
        <w:t xml:space="preserve">al massimo </w:t>
      </w:r>
      <w:r w:rsidR="00A4639E" w:rsidRPr="00C4795A">
        <w:rPr>
          <w:rFonts w:ascii="Times New Roman" w:hAnsi="Times New Roman" w:cs="Times New Roman"/>
          <w:sz w:val="24"/>
          <w:szCs w:val="24"/>
        </w:rPr>
        <w:t>la tutela</w:t>
      </w:r>
      <w:r w:rsidR="00CA7285" w:rsidRPr="00C4795A">
        <w:rPr>
          <w:rFonts w:ascii="Times New Roman" w:hAnsi="Times New Roman" w:cs="Times New Roman"/>
          <w:sz w:val="24"/>
          <w:szCs w:val="24"/>
        </w:rPr>
        <w:t xml:space="preserve"> fondata sul diritto UE</w:t>
      </w:r>
      <w:r w:rsidR="00BB628B" w:rsidRPr="00C4795A">
        <w:rPr>
          <w:rFonts w:ascii="Times New Roman" w:hAnsi="Times New Roman" w:cs="Times New Roman"/>
          <w:sz w:val="24"/>
          <w:szCs w:val="24"/>
        </w:rPr>
        <w:t xml:space="preserve"> e </w:t>
      </w:r>
      <w:r w:rsidR="00CA7285" w:rsidRPr="00C4795A">
        <w:rPr>
          <w:rFonts w:ascii="Times New Roman" w:hAnsi="Times New Roman" w:cs="Times New Roman"/>
          <w:sz w:val="24"/>
          <w:szCs w:val="24"/>
        </w:rPr>
        <w:t>garant</w:t>
      </w:r>
      <w:r w:rsidR="00BB628B" w:rsidRPr="00C4795A">
        <w:rPr>
          <w:rFonts w:ascii="Times New Roman" w:hAnsi="Times New Roman" w:cs="Times New Roman"/>
          <w:sz w:val="24"/>
          <w:szCs w:val="24"/>
        </w:rPr>
        <w:t xml:space="preserve">ire, </w:t>
      </w:r>
      <w:r w:rsidR="00CA7285" w:rsidRPr="00C4795A">
        <w:rPr>
          <w:rFonts w:ascii="Times New Roman" w:hAnsi="Times New Roman" w:cs="Times New Roman"/>
          <w:sz w:val="24"/>
          <w:szCs w:val="24"/>
        </w:rPr>
        <w:t>al contempo</w:t>
      </w:r>
      <w:r w:rsidR="00BB628B" w:rsidRPr="00C4795A">
        <w:rPr>
          <w:rFonts w:ascii="Times New Roman" w:hAnsi="Times New Roman" w:cs="Times New Roman"/>
          <w:sz w:val="24"/>
          <w:szCs w:val="24"/>
        </w:rPr>
        <w:t>,</w:t>
      </w:r>
      <w:r w:rsidR="00CA7285" w:rsidRPr="00C4795A">
        <w:rPr>
          <w:rFonts w:ascii="Times New Roman" w:hAnsi="Times New Roman" w:cs="Times New Roman"/>
          <w:sz w:val="24"/>
          <w:szCs w:val="24"/>
        </w:rPr>
        <w:t xml:space="preserve"> </w:t>
      </w:r>
      <w:r w:rsidR="007759FC" w:rsidRPr="00C4795A">
        <w:rPr>
          <w:rFonts w:ascii="Times New Roman" w:hAnsi="Times New Roman" w:cs="Times New Roman"/>
          <w:sz w:val="24"/>
          <w:szCs w:val="24"/>
        </w:rPr>
        <w:t xml:space="preserve">il bilanciamento della stessa con i </w:t>
      </w:r>
      <w:r w:rsidR="00CA7285" w:rsidRPr="00C4795A">
        <w:rPr>
          <w:rFonts w:ascii="Times New Roman" w:hAnsi="Times New Roman" w:cs="Times New Roman"/>
          <w:sz w:val="24"/>
          <w:szCs w:val="24"/>
        </w:rPr>
        <w:t xml:space="preserve">principi costituzionali </w:t>
      </w:r>
      <w:r w:rsidR="007759FC" w:rsidRPr="00C4795A">
        <w:rPr>
          <w:rFonts w:ascii="Times New Roman" w:hAnsi="Times New Roman" w:cs="Times New Roman"/>
          <w:sz w:val="24"/>
          <w:szCs w:val="24"/>
        </w:rPr>
        <w:t xml:space="preserve">di volta in volta </w:t>
      </w:r>
      <w:r w:rsidR="00CA7285" w:rsidRPr="00C4795A">
        <w:rPr>
          <w:rFonts w:ascii="Times New Roman" w:hAnsi="Times New Roman" w:cs="Times New Roman"/>
          <w:sz w:val="24"/>
          <w:szCs w:val="24"/>
        </w:rPr>
        <w:t>pertinenti</w:t>
      </w:r>
      <w:r w:rsidR="00A4639E" w:rsidRPr="00C4795A">
        <w:rPr>
          <w:rFonts w:ascii="Times New Roman" w:hAnsi="Times New Roman" w:cs="Times New Roman"/>
          <w:sz w:val="24"/>
          <w:szCs w:val="24"/>
        </w:rPr>
        <w:t>. </w:t>
      </w:r>
    </w:p>
    <w:p w14:paraId="3BDAE077" w14:textId="638DA2FB" w:rsidR="00F64FEA" w:rsidRPr="00C4795A" w:rsidRDefault="006F6F0C" w:rsidP="00473AF5">
      <w:pPr>
        <w:ind w:left="360"/>
        <w:jc w:val="both"/>
        <w:rPr>
          <w:rFonts w:ascii="Times New Roman" w:hAnsi="Times New Roman" w:cs="Times New Roman"/>
          <w:sz w:val="24"/>
          <w:szCs w:val="24"/>
        </w:rPr>
      </w:pPr>
      <w:r w:rsidRPr="00C4795A">
        <w:rPr>
          <w:rFonts w:ascii="Times New Roman" w:hAnsi="Times New Roman" w:cs="Times New Roman"/>
          <w:sz w:val="24"/>
          <w:szCs w:val="24"/>
        </w:rPr>
        <w:lastRenderedPageBreak/>
        <w:t xml:space="preserve">In questa ricostruzione, </w:t>
      </w:r>
      <w:r w:rsidR="00CA4D01" w:rsidRPr="00C4795A">
        <w:rPr>
          <w:rFonts w:ascii="Times New Roman" w:hAnsi="Times New Roman" w:cs="Times New Roman"/>
          <w:sz w:val="24"/>
          <w:szCs w:val="24"/>
        </w:rPr>
        <w:t xml:space="preserve">la </w:t>
      </w:r>
      <w:r w:rsidRPr="00C4795A">
        <w:rPr>
          <w:rFonts w:ascii="Times New Roman" w:hAnsi="Times New Roman" w:cs="Times New Roman"/>
          <w:sz w:val="24"/>
          <w:szCs w:val="24"/>
        </w:rPr>
        <w:t xml:space="preserve">norma </w:t>
      </w:r>
      <w:r w:rsidR="00FF3EEB" w:rsidRPr="00C4795A">
        <w:rPr>
          <w:rFonts w:ascii="Times New Roman" w:hAnsi="Times New Roman" w:cs="Times New Roman"/>
          <w:sz w:val="24"/>
          <w:szCs w:val="24"/>
        </w:rPr>
        <w:t>anti-unionale</w:t>
      </w:r>
      <w:r w:rsidR="00CA4D01" w:rsidRPr="00C4795A">
        <w:rPr>
          <w:rFonts w:ascii="Times New Roman" w:hAnsi="Times New Roman" w:cs="Times New Roman"/>
          <w:sz w:val="24"/>
          <w:szCs w:val="24"/>
        </w:rPr>
        <w:t xml:space="preserve"> </w:t>
      </w:r>
      <w:r w:rsidRPr="00C4795A">
        <w:rPr>
          <w:rFonts w:ascii="Times New Roman" w:hAnsi="Times New Roman" w:cs="Times New Roman"/>
          <w:sz w:val="24"/>
          <w:szCs w:val="24"/>
        </w:rPr>
        <w:t xml:space="preserve">sarebbe </w:t>
      </w:r>
      <w:r w:rsidR="00CA4D01" w:rsidRPr="00C4795A">
        <w:rPr>
          <w:rFonts w:ascii="Times New Roman" w:hAnsi="Times New Roman" w:cs="Times New Roman"/>
          <w:sz w:val="24"/>
          <w:szCs w:val="24"/>
        </w:rPr>
        <w:t>assoggettata a una sospensione preventiva volta a inibirne l’applicazione finch</w:t>
      </w:r>
      <w:r w:rsidRPr="00C4795A">
        <w:rPr>
          <w:rFonts w:ascii="Times New Roman" w:hAnsi="Times New Roman" w:cs="Times New Roman"/>
          <w:sz w:val="24"/>
          <w:szCs w:val="24"/>
        </w:rPr>
        <w:t xml:space="preserve">é </w:t>
      </w:r>
      <w:r w:rsidR="00CA4D01" w:rsidRPr="00C4795A">
        <w:rPr>
          <w:rFonts w:ascii="Times New Roman" w:hAnsi="Times New Roman" w:cs="Times New Roman"/>
          <w:sz w:val="24"/>
          <w:szCs w:val="24"/>
        </w:rPr>
        <w:t xml:space="preserve">non </w:t>
      </w:r>
      <w:r w:rsidRPr="00C4795A">
        <w:rPr>
          <w:rFonts w:ascii="Times New Roman" w:hAnsi="Times New Roman" w:cs="Times New Roman"/>
          <w:sz w:val="24"/>
          <w:szCs w:val="24"/>
        </w:rPr>
        <w:t xml:space="preserve">sopraggiunga </w:t>
      </w:r>
      <w:r w:rsidR="00CA4D01" w:rsidRPr="00C4795A">
        <w:rPr>
          <w:rFonts w:ascii="Times New Roman" w:hAnsi="Times New Roman" w:cs="Times New Roman"/>
          <w:sz w:val="24"/>
          <w:szCs w:val="24"/>
        </w:rPr>
        <w:t>la pronuncia risolutiva della questione di legittimità costituzionale</w:t>
      </w:r>
      <w:r w:rsidR="009D4C5D" w:rsidRPr="00C4795A">
        <w:rPr>
          <w:rFonts w:ascii="Times New Roman" w:hAnsi="Times New Roman" w:cs="Times New Roman"/>
          <w:sz w:val="24"/>
          <w:szCs w:val="24"/>
        </w:rPr>
        <w:t xml:space="preserve"> sulla stessa proposta</w:t>
      </w:r>
      <w:r w:rsidR="00CA4D01" w:rsidRPr="00C4795A">
        <w:rPr>
          <w:rFonts w:ascii="Times New Roman" w:hAnsi="Times New Roman" w:cs="Times New Roman"/>
          <w:sz w:val="24"/>
          <w:szCs w:val="24"/>
        </w:rPr>
        <w:t>.</w:t>
      </w:r>
      <w:r w:rsidR="00FF3EEB" w:rsidRPr="00C4795A">
        <w:rPr>
          <w:rFonts w:ascii="Times New Roman" w:hAnsi="Times New Roman" w:cs="Times New Roman"/>
          <w:sz w:val="24"/>
          <w:szCs w:val="24"/>
        </w:rPr>
        <w:t xml:space="preserve"> L’asserzione di fondo, quindi, </w:t>
      </w:r>
      <w:r w:rsidRPr="00C4795A">
        <w:rPr>
          <w:rFonts w:ascii="Times New Roman" w:hAnsi="Times New Roman" w:cs="Times New Roman"/>
          <w:sz w:val="24"/>
          <w:szCs w:val="24"/>
        </w:rPr>
        <w:t xml:space="preserve">è che il </w:t>
      </w:r>
      <w:r w:rsidR="00CA4D01" w:rsidRPr="00C4795A">
        <w:rPr>
          <w:rFonts w:ascii="Times New Roman" w:hAnsi="Times New Roman" w:cs="Times New Roman"/>
          <w:sz w:val="24"/>
          <w:szCs w:val="24"/>
        </w:rPr>
        <w:t xml:space="preserve">potere di arrestare </w:t>
      </w:r>
      <w:r w:rsidR="009D4C5D" w:rsidRPr="00C4795A">
        <w:rPr>
          <w:rFonts w:ascii="Times New Roman" w:hAnsi="Times New Roman" w:cs="Times New Roman"/>
          <w:sz w:val="24"/>
          <w:szCs w:val="24"/>
        </w:rPr>
        <w:t>in via cautelare</w:t>
      </w:r>
      <w:r w:rsidR="00CA4D01" w:rsidRPr="00C4795A">
        <w:rPr>
          <w:rFonts w:ascii="Times New Roman" w:hAnsi="Times New Roman" w:cs="Times New Roman"/>
          <w:sz w:val="24"/>
          <w:szCs w:val="24"/>
        </w:rPr>
        <w:t xml:space="preserve"> l’efficacia di una norma </w:t>
      </w:r>
      <w:r w:rsidR="009D4C5D" w:rsidRPr="00C4795A">
        <w:rPr>
          <w:rFonts w:ascii="Times New Roman" w:hAnsi="Times New Roman" w:cs="Times New Roman"/>
          <w:sz w:val="24"/>
          <w:szCs w:val="24"/>
        </w:rPr>
        <w:t xml:space="preserve">interna </w:t>
      </w:r>
      <w:r w:rsidR="00FF3EEB" w:rsidRPr="00C4795A">
        <w:rPr>
          <w:rFonts w:ascii="Times New Roman" w:hAnsi="Times New Roman" w:cs="Times New Roman"/>
          <w:sz w:val="24"/>
          <w:szCs w:val="24"/>
        </w:rPr>
        <w:t>contrastante con il diritto UE</w:t>
      </w:r>
      <w:r w:rsidR="007C1457" w:rsidRPr="00C4795A">
        <w:rPr>
          <w:rFonts w:ascii="Times New Roman" w:hAnsi="Times New Roman" w:cs="Times New Roman"/>
          <w:sz w:val="24"/>
          <w:szCs w:val="24"/>
        </w:rPr>
        <w:t xml:space="preserve"> </w:t>
      </w:r>
      <w:r w:rsidR="00FF3EEB" w:rsidRPr="00C4795A">
        <w:rPr>
          <w:rFonts w:ascii="Times New Roman" w:hAnsi="Times New Roman" w:cs="Times New Roman"/>
          <w:sz w:val="24"/>
          <w:szCs w:val="24"/>
        </w:rPr>
        <w:t>debba spettare</w:t>
      </w:r>
      <w:r w:rsidR="00CA4D01" w:rsidRPr="00C4795A">
        <w:rPr>
          <w:rFonts w:ascii="Times New Roman" w:hAnsi="Times New Roman" w:cs="Times New Roman"/>
          <w:sz w:val="24"/>
          <w:szCs w:val="24"/>
        </w:rPr>
        <w:t xml:space="preserve"> </w:t>
      </w:r>
      <w:r w:rsidR="0015040A" w:rsidRPr="00C4795A">
        <w:rPr>
          <w:rFonts w:ascii="Times New Roman" w:hAnsi="Times New Roman" w:cs="Times New Roman"/>
          <w:sz w:val="24"/>
          <w:szCs w:val="24"/>
        </w:rPr>
        <w:t xml:space="preserve">in prima battuta </w:t>
      </w:r>
      <w:r w:rsidR="00CA4D01" w:rsidRPr="00C4795A">
        <w:rPr>
          <w:rFonts w:ascii="Times New Roman" w:hAnsi="Times New Roman" w:cs="Times New Roman"/>
          <w:sz w:val="24"/>
          <w:szCs w:val="24"/>
        </w:rPr>
        <w:t>al</w:t>
      </w:r>
      <w:r w:rsidR="009D4C5D" w:rsidRPr="00C4795A">
        <w:rPr>
          <w:rFonts w:ascii="Times New Roman" w:hAnsi="Times New Roman" w:cs="Times New Roman"/>
          <w:sz w:val="24"/>
          <w:szCs w:val="24"/>
        </w:rPr>
        <w:t xml:space="preserve"> giudice costituzionale</w:t>
      </w:r>
      <w:r w:rsidR="007C1457" w:rsidRPr="00C4795A">
        <w:rPr>
          <w:rFonts w:ascii="Times New Roman" w:hAnsi="Times New Roman" w:cs="Times New Roman"/>
          <w:sz w:val="24"/>
          <w:szCs w:val="24"/>
        </w:rPr>
        <w:t>,</w:t>
      </w:r>
      <w:r w:rsidR="009D4C5D" w:rsidRPr="00C4795A">
        <w:rPr>
          <w:rFonts w:ascii="Times New Roman" w:hAnsi="Times New Roman" w:cs="Times New Roman"/>
          <w:sz w:val="24"/>
          <w:szCs w:val="24"/>
        </w:rPr>
        <w:t xml:space="preserve"> anziché al giudice comune</w:t>
      </w:r>
      <w:r w:rsidR="00CA4D01" w:rsidRPr="00C4795A">
        <w:rPr>
          <w:rFonts w:ascii="Times New Roman" w:hAnsi="Times New Roman" w:cs="Times New Roman"/>
          <w:sz w:val="24"/>
          <w:szCs w:val="24"/>
        </w:rPr>
        <w:t>.</w:t>
      </w:r>
      <w:r w:rsidR="00473AF5" w:rsidRPr="00C4795A">
        <w:rPr>
          <w:rFonts w:ascii="Times New Roman" w:hAnsi="Times New Roman" w:cs="Times New Roman"/>
          <w:sz w:val="24"/>
          <w:szCs w:val="24"/>
        </w:rPr>
        <w:t xml:space="preserve"> </w:t>
      </w:r>
      <w:r w:rsidR="00A4639E" w:rsidRPr="00C4795A">
        <w:rPr>
          <w:rFonts w:ascii="Times New Roman" w:hAnsi="Times New Roman" w:cs="Times New Roman"/>
          <w:sz w:val="24"/>
          <w:szCs w:val="24"/>
        </w:rPr>
        <w:t>Un cortocircuito applicativo potrebbe</w:t>
      </w:r>
      <w:r w:rsidR="00CA7285" w:rsidRPr="00C4795A">
        <w:rPr>
          <w:rFonts w:ascii="Times New Roman" w:hAnsi="Times New Roman" w:cs="Times New Roman"/>
          <w:sz w:val="24"/>
          <w:szCs w:val="24"/>
        </w:rPr>
        <w:t>,</w:t>
      </w:r>
      <w:r w:rsidR="00A4639E" w:rsidRPr="00C4795A">
        <w:rPr>
          <w:rFonts w:ascii="Times New Roman" w:hAnsi="Times New Roman" w:cs="Times New Roman"/>
          <w:sz w:val="24"/>
          <w:szCs w:val="24"/>
        </w:rPr>
        <w:t xml:space="preserve"> </w:t>
      </w:r>
      <w:r w:rsidR="009D4C5D" w:rsidRPr="00C4795A">
        <w:rPr>
          <w:rFonts w:ascii="Times New Roman" w:hAnsi="Times New Roman" w:cs="Times New Roman"/>
          <w:sz w:val="24"/>
          <w:szCs w:val="24"/>
        </w:rPr>
        <w:t>in questa prospettiva</w:t>
      </w:r>
      <w:r w:rsidR="00CA7285" w:rsidRPr="00C4795A">
        <w:rPr>
          <w:rFonts w:ascii="Times New Roman" w:hAnsi="Times New Roman" w:cs="Times New Roman"/>
          <w:sz w:val="24"/>
          <w:szCs w:val="24"/>
        </w:rPr>
        <w:t>,</w:t>
      </w:r>
      <w:r w:rsidR="00A4639E" w:rsidRPr="00C4795A">
        <w:rPr>
          <w:rFonts w:ascii="Times New Roman" w:hAnsi="Times New Roman" w:cs="Times New Roman"/>
          <w:sz w:val="24"/>
          <w:szCs w:val="24"/>
        </w:rPr>
        <w:t xml:space="preserve"> </w:t>
      </w:r>
      <w:r w:rsidR="0015040A" w:rsidRPr="00C4795A">
        <w:rPr>
          <w:rFonts w:ascii="Times New Roman" w:hAnsi="Times New Roman" w:cs="Times New Roman"/>
          <w:sz w:val="24"/>
          <w:szCs w:val="24"/>
        </w:rPr>
        <w:t xml:space="preserve">prodursi </w:t>
      </w:r>
      <w:r w:rsidR="00A4639E" w:rsidRPr="00C4795A">
        <w:rPr>
          <w:rFonts w:ascii="Times New Roman" w:hAnsi="Times New Roman" w:cs="Times New Roman"/>
          <w:sz w:val="24"/>
          <w:szCs w:val="24"/>
        </w:rPr>
        <w:t>ove il giudice comune</w:t>
      </w:r>
      <w:r w:rsidR="0015040A" w:rsidRPr="00C4795A">
        <w:rPr>
          <w:rFonts w:ascii="Times New Roman" w:hAnsi="Times New Roman" w:cs="Times New Roman"/>
          <w:sz w:val="24"/>
          <w:szCs w:val="24"/>
        </w:rPr>
        <w:t>,</w:t>
      </w:r>
      <w:r w:rsidR="00A4639E" w:rsidRPr="00C4795A">
        <w:rPr>
          <w:rFonts w:ascii="Times New Roman" w:hAnsi="Times New Roman" w:cs="Times New Roman"/>
          <w:sz w:val="24"/>
          <w:szCs w:val="24"/>
        </w:rPr>
        <w:t xml:space="preserve"> insoddisfatto della pronuncia </w:t>
      </w:r>
      <w:r w:rsidR="000E39B0" w:rsidRPr="00C4795A">
        <w:rPr>
          <w:rFonts w:ascii="Times New Roman" w:hAnsi="Times New Roman" w:cs="Times New Roman"/>
          <w:sz w:val="24"/>
          <w:szCs w:val="24"/>
        </w:rPr>
        <w:t xml:space="preserve">costituzionale </w:t>
      </w:r>
      <w:r w:rsidR="00A4639E" w:rsidRPr="00C4795A">
        <w:rPr>
          <w:rFonts w:ascii="Times New Roman" w:hAnsi="Times New Roman" w:cs="Times New Roman"/>
          <w:sz w:val="24"/>
          <w:szCs w:val="24"/>
        </w:rPr>
        <w:t xml:space="preserve">che ha </w:t>
      </w:r>
      <w:r w:rsidR="00BD79D0" w:rsidRPr="00C4795A">
        <w:rPr>
          <w:rFonts w:ascii="Times New Roman" w:hAnsi="Times New Roman" w:cs="Times New Roman"/>
          <w:sz w:val="24"/>
          <w:szCs w:val="24"/>
        </w:rPr>
        <w:t>risolto in via</w:t>
      </w:r>
      <w:r w:rsidR="00A4639E" w:rsidRPr="00C4795A">
        <w:rPr>
          <w:rFonts w:ascii="Times New Roman" w:hAnsi="Times New Roman" w:cs="Times New Roman"/>
          <w:sz w:val="24"/>
          <w:szCs w:val="24"/>
        </w:rPr>
        <w:t xml:space="preserve"> </w:t>
      </w:r>
      <w:r w:rsidR="00534DD9" w:rsidRPr="00C4795A">
        <w:rPr>
          <w:rFonts w:ascii="Times New Roman" w:hAnsi="Times New Roman" w:cs="Times New Roman"/>
          <w:sz w:val="24"/>
          <w:szCs w:val="24"/>
        </w:rPr>
        <w:t xml:space="preserve">cautelare </w:t>
      </w:r>
      <w:r w:rsidR="00A4639E" w:rsidRPr="00C4795A">
        <w:rPr>
          <w:rFonts w:ascii="Times New Roman" w:hAnsi="Times New Roman" w:cs="Times New Roman"/>
          <w:sz w:val="24"/>
          <w:szCs w:val="24"/>
        </w:rPr>
        <w:t xml:space="preserve">la questione </w:t>
      </w:r>
      <w:r w:rsidR="00BD79D0" w:rsidRPr="00C4795A">
        <w:rPr>
          <w:rFonts w:ascii="Times New Roman" w:hAnsi="Times New Roman" w:cs="Times New Roman"/>
          <w:sz w:val="24"/>
          <w:szCs w:val="24"/>
        </w:rPr>
        <w:t>sui</w:t>
      </w:r>
      <w:r w:rsidR="00A4639E" w:rsidRPr="00C4795A">
        <w:rPr>
          <w:rFonts w:ascii="Times New Roman" w:hAnsi="Times New Roman" w:cs="Times New Roman"/>
          <w:sz w:val="24"/>
          <w:szCs w:val="24"/>
        </w:rPr>
        <w:t xml:space="preserve"> profili ‘europei’</w:t>
      </w:r>
      <w:r w:rsidR="009D4C5D" w:rsidRPr="00C4795A">
        <w:rPr>
          <w:rFonts w:ascii="Times New Roman" w:hAnsi="Times New Roman" w:cs="Times New Roman"/>
          <w:sz w:val="24"/>
          <w:szCs w:val="24"/>
        </w:rPr>
        <w:t xml:space="preserve">, </w:t>
      </w:r>
      <w:r w:rsidR="00A4639E" w:rsidRPr="00C4795A">
        <w:rPr>
          <w:rFonts w:ascii="Times New Roman" w:hAnsi="Times New Roman" w:cs="Times New Roman"/>
          <w:sz w:val="24"/>
          <w:szCs w:val="24"/>
        </w:rPr>
        <w:t>promuov</w:t>
      </w:r>
      <w:r w:rsidR="0015040A" w:rsidRPr="00C4795A">
        <w:rPr>
          <w:rFonts w:ascii="Times New Roman" w:hAnsi="Times New Roman" w:cs="Times New Roman"/>
          <w:sz w:val="24"/>
          <w:szCs w:val="24"/>
        </w:rPr>
        <w:t>esse</w:t>
      </w:r>
      <w:r w:rsidR="00A4639E" w:rsidRPr="00C4795A">
        <w:rPr>
          <w:rFonts w:ascii="Times New Roman" w:hAnsi="Times New Roman" w:cs="Times New Roman"/>
          <w:sz w:val="24"/>
          <w:szCs w:val="24"/>
        </w:rPr>
        <w:t xml:space="preserve"> comunque rinvio pregiudiziale</w:t>
      </w:r>
      <w:r w:rsidR="00A4639E" w:rsidRPr="00C4795A">
        <w:rPr>
          <w:rStyle w:val="Rimandonotaapidipagina"/>
          <w:rFonts w:ascii="Times New Roman" w:hAnsi="Times New Roman" w:cs="Times New Roman"/>
          <w:sz w:val="24"/>
          <w:szCs w:val="24"/>
        </w:rPr>
        <w:footnoteReference w:id="72"/>
      </w:r>
      <w:r w:rsidR="00A4639E" w:rsidRPr="00C4795A">
        <w:rPr>
          <w:rFonts w:ascii="Times New Roman" w:hAnsi="Times New Roman" w:cs="Times New Roman"/>
          <w:sz w:val="24"/>
          <w:szCs w:val="24"/>
        </w:rPr>
        <w:t xml:space="preserve"> senza attendere il pronunciamento definitivo della Co</w:t>
      </w:r>
      <w:r w:rsidR="000E39B0" w:rsidRPr="00C4795A">
        <w:rPr>
          <w:rFonts w:ascii="Times New Roman" w:hAnsi="Times New Roman" w:cs="Times New Roman"/>
          <w:sz w:val="24"/>
          <w:szCs w:val="24"/>
        </w:rPr>
        <w:t>nsulta</w:t>
      </w:r>
      <w:r w:rsidR="007427C0" w:rsidRPr="00C4795A">
        <w:rPr>
          <w:rFonts w:ascii="Times New Roman" w:hAnsi="Times New Roman" w:cs="Times New Roman"/>
          <w:sz w:val="24"/>
          <w:szCs w:val="24"/>
        </w:rPr>
        <w:t xml:space="preserve"> sulla questione</w:t>
      </w:r>
      <w:r w:rsidR="00A4639E" w:rsidRPr="00C4795A">
        <w:rPr>
          <w:rFonts w:ascii="Times New Roman" w:hAnsi="Times New Roman" w:cs="Times New Roman"/>
          <w:sz w:val="24"/>
          <w:szCs w:val="24"/>
        </w:rPr>
        <w:t xml:space="preserve">, con l’effetto </w:t>
      </w:r>
      <w:r w:rsidR="00034476" w:rsidRPr="00C4795A">
        <w:rPr>
          <w:rFonts w:ascii="Times New Roman" w:hAnsi="Times New Roman" w:cs="Times New Roman"/>
          <w:sz w:val="24"/>
          <w:szCs w:val="24"/>
        </w:rPr>
        <w:t xml:space="preserve">di </w:t>
      </w:r>
      <w:r w:rsidR="00A4639E" w:rsidRPr="00C4795A">
        <w:rPr>
          <w:rFonts w:ascii="Times New Roman" w:hAnsi="Times New Roman" w:cs="Times New Roman"/>
          <w:sz w:val="24"/>
          <w:szCs w:val="24"/>
        </w:rPr>
        <w:t xml:space="preserve">alimentare le occasioni di contrasto tra giudicati. </w:t>
      </w:r>
      <w:bookmarkStart w:id="4" w:name="_Hlk218683570"/>
      <w:bookmarkEnd w:id="2"/>
    </w:p>
    <w:p w14:paraId="3AF5A55D" w14:textId="77777777" w:rsidR="00F64FEA" w:rsidRPr="00C4795A" w:rsidRDefault="00F64FEA" w:rsidP="009D351F">
      <w:pPr>
        <w:jc w:val="both"/>
        <w:rPr>
          <w:rFonts w:ascii="Times New Roman" w:hAnsi="Times New Roman" w:cs="Times New Roman"/>
          <w:i/>
          <w:iCs/>
          <w:sz w:val="24"/>
          <w:szCs w:val="24"/>
        </w:rPr>
      </w:pPr>
    </w:p>
    <w:p w14:paraId="0A3AAA83" w14:textId="1A7B3544" w:rsidR="009D351F" w:rsidRPr="00C4795A" w:rsidRDefault="009D351F" w:rsidP="009D351F">
      <w:pPr>
        <w:jc w:val="both"/>
        <w:rPr>
          <w:rFonts w:ascii="Times New Roman" w:hAnsi="Times New Roman" w:cs="Times New Roman"/>
          <w:b/>
          <w:bCs/>
          <w:i/>
          <w:iCs/>
          <w:sz w:val="24"/>
          <w:szCs w:val="24"/>
        </w:rPr>
      </w:pPr>
      <w:r w:rsidRPr="00C4795A">
        <w:rPr>
          <w:rFonts w:ascii="Times New Roman" w:hAnsi="Times New Roman" w:cs="Times New Roman"/>
          <w:b/>
          <w:bCs/>
          <w:i/>
          <w:iCs/>
          <w:sz w:val="24"/>
          <w:szCs w:val="24"/>
        </w:rPr>
        <w:t xml:space="preserve">IV. </w:t>
      </w:r>
      <w:r w:rsidR="00E351EE" w:rsidRPr="00C4795A">
        <w:rPr>
          <w:rFonts w:ascii="Times New Roman" w:hAnsi="Times New Roman" w:cs="Times New Roman"/>
          <w:b/>
          <w:bCs/>
          <w:i/>
          <w:iCs/>
          <w:sz w:val="24"/>
          <w:szCs w:val="24"/>
        </w:rPr>
        <w:t>L</w:t>
      </w:r>
      <w:r w:rsidR="002B3E9B" w:rsidRPr="00C4795A">
        <w:rPr>
          <w:rFonts w:ascii="Times New Roman" w:hAnsi="Times New Roman" w:cs="Times New Roman"/>
          <w:b/>
          <w:bCs/>
          <w:i/>
          <w:iCs/>
          <w:sz w:val="24"/>
          <w:szCs w:val="24"/>
        </w:rPr>
        <w:t xml:space="preserve">a </w:t>
      </w:r>
      <w:r w:rsidR="00E351EE" w:rsidRPr="00C4795A">
        <w:rPr>
          <w:rFonts w:ascii="Times New Roman" w:hAnsi="Times New Roman" w:cs="Times New Roman"/>
          <w:b/>
          <w:bCs/>
          <w:i/>
          <w:iCs/>
          <w:sz w:val="24"/>
          <w:szCs w:val="24"/>
        </w:rPr>
        <w:t>simultaneità dei rimedi</w:t>
      </w:r>
      <w:r w:rsidR="0015040A" w:rsidRPr="00C4795A">
        <w:rPr>
          <w:rFonts w:ascii="Times New Roman" w:hAnsi="Times New Roman" w:cs="Times New Roman"/>
          <w:b/>
          <w:bCs/>
          <w:i/>
          <w:iCs/>
          <w:sz w:val="24"/>
          <w:szCs w:val="24"/>
        </w:rPr>
        <w:t xml:space="preserve">: spunti </w:t>
      </w:r>
      <w:r w:rsidR="008066B0" w:rsidRPr="00C4795A">
        <w:rPr>
          <w:rFonts w:ascii="Times New Roman" w:hAnsi="Times New Roman" w:cs="Times New Roman"/>
          <w:b/>
          <w:bCs/>
          <w:i/>
          <w:iCs/>
          <w:sz w:val="24"/>
          <w:szCs w:val="24"/>
        </w:rPr>
        <w:t>di riflessione.</w:t>
      </w:r>
    </w:p>
    <w:p w14:paraId="1843A1F5" w14:textId="54A26A06" w:rsidR="007427C0" w:rsidRPr="00C4795A" w:rsidRDefault="00CA4D01" w:rsidP="00FF3EEB">
      <w:pPr>
        <w:spacing w:after="0"/>
        <w:jc w:val="both"/>
        <w:rPr>
          <w:rFonts w:ascii="Times New Roman" w:hAnsi="Times New Roman" w:cs="Times New Roman"/>
          <w:sz w:val="24"/>
          <w:szCs w:val="24"/>
        </w:rPr>
      </w:pPr>
      <w:r w:rsidRPr="00C4795A">
        <w:rPr>
          <w:rFonts w:ascii="Times New Roman" w:hAnsi="Times New Roman" w:cs="Times New Roman"/>
          <w:sz w:val="24"/>
          <w:szCs w:val="24"/>
        </w:rPr>
        <w:t>Nelle pagine precedenti si è mostrata la fragilità della tesi che la giurisprudenza 181 metta a repentaglio il principio del primato e dell’effetto diretto e produca un deterioramento sostanziale e concreto del principio di effettività delle tutele</w:t>
      </w:r>
      <w:r w:rsidR="000E39B0" w:rsidRPr="00C4795A">
        <w:rPr>
          <w:rStyle w:val="Rimandonotaapidipagina"/>
          <w:rFonts w:ascii="Times New Roman" w:hAnsi="Times New Roman" w:cs="Times New Roman"/>
          <w:sz w:val="24"/>
          <w:szCs w:val="24"/>
        </w:rPr>
        <w:footnoteReference w:id="73"/>
      </w:r>
      <w:r w:rsidRPr="00C4795A">
        <w:rPr>
          <w:rFonts w:ascii="Times New Roman" w:hAnsi="Times New Roman" w:cs="Times New Roman"/>
          <w:sz w:val="24"/>
          <w:szCs w:val="24"/>
        </w:rPr>
        <w:t xml:space="preserve">. Ora però, volendo per completezza di analisi interpretare il ruolo di </w:t>
      </w:r>
      <w:proofErr w:type="spellStart"/>
      <w:r w:rsidRPr="00C4795A">
        <w:rPr>
          <w:rFonts w:ascii="Times New Roman" w:hAnsi="Times New Roman" w:cs="Times New Roman"/>
          <w:i/>
          <w:iCs/>
          <w:sz w:val="24"/>
          <w:szCs w:val="24"/>
        </w:rPr>
        <w:t>advocatus</w:t>
      </w:r>
      <w:proofErr w:type="spellEnd"/>
      <w:r w:rsidRPr="00C4795A">
        <w:rPr>
          <w:rFonts w:ascii="Times New Roman" w:hAnsi="Times New Roman" w:cs="Times New Roman"/>
          <w:i/>
          <w:iCs/>
          <w:sz w:val="24"/>
          <w:szCs w:val="24"/>
        </w:rPr>
        <w:t xml:space="preserve"> diaboli</w:t>
      </w:r>
      <w:r w:rsidRPr="00C4795A">
        <w:rPr>
          <w:rFonts w:ascii="Times New Roman" w:hAnsi="Times New Roman" w:cs="Times New Roman"/>
          <w:sz w:val="24"/>
          <w:szCs w:val="24"/>
        </w:rPr>
        <w:t xml:space="preserve">, </w:t>
      </w:r>
      <w:r w:rsidR="008609EF" w:rsidRPr="00C4795A">
        <w:rPr>
          <w:rFonts w:ascii="Times New Roman" w:hAnsi="Times New Roman" w:cs="Times New Roman"/>
          <w:sz w:val="24"/>
          <w:szCs w:val="24"/>
        </w:rPr>
        <w:t xml:space="preserve">non possiamo omettere di osservare che tutte </w:t>
      </w:r>
      <w:r w:rsidR="00192820" w:rsidRPr="00C4795A">
        <w:rPr>
          <w:rFonts w:ascii="Times New Roman" w:eastAsia="Times New Roman" w:hAnsi="Times New Roman" w:cs="Times New Roman"/>
          <w:kern w:val="0"/>
          <w:sz w:val="24"/>
          <w:szCs w:val="24"/>
          <w:lang w:eastAsia="it-IT"/>
          <w14:ligatures w14:val="none"/>
        </w:rPr>
        <w:t xml:space="preserve">le soluzioni </w:t>
      </w:r>
      <w:r w:rsidR="008609EF" w:rsidRPr="00C4795A">
        <w:rPr>
          <w:rFonts w:ascii="Times New Roman" w:eastAsia="Times New Roman" w:hAnsi="Times New Roman" w:cs="Times New Roman"/>
          <w:kern w:val="0"/>
          <w:sz w:val="24"/>
          <w:szCs w:val="24"/>
          <w:lang w:eastAsia="it-IT"/>
          <w14:ligatures w14:val="none"/>
        </w:rPr>
        <w:t xml:space="preserve">in precedenza </w:t>
      </w:r>
      <w:r w:rsidR="00192820" w:rsidRPr="00C4795A">
        <w:rPr>
          <w:rFonts w:ascii="Times New Roman" w:eastAsia="Times New Roman" w:hAnsi="Times New Roman" w:cs="Times New Roman"/>
          <w:kern w:val="0"/>
          <w:sz w:val="24"/>
          <w:szCs w:val="24"/>
          <w:lang w:eastAsia="it-IT"/>
          <w14:ligatures w14:val="none"/>
        </w:rPr>
        <w:t xml:space="preserve">passate in rassegna </w:t>
      </w:r>
      <w:r w:rsidR="00065FF1" w:rsidRPr="00C4795A">
        <w:rPr>
          <w:rFonts w:ascii="Times New Roman" w:eastAsia="Times New Roman" w:hAnsi="Times New Roman" w:cs="Times New Roman"/>
          <w:kern w:val="0"/>
          <w:sz w:val="24"/>
          <w:szCs w:val="24"/>
          <w:lang w:eastAsia="it-IT"/>
          <w14:ligatures w14:val="none"/>
        </w:rPr>
        <w:t xml:space="preserve">non permettono di annullare completamente lo </w:t>
      </w:r>
      <w:r w:rsidR="00192820" w:rsidRPr="00C4795A">
        <w:rPr>
          <w:rFonts w:ascii="Times New Roman" w:eastAsia="Times New Roman" w:hAnsi="Times New Roman" w:cs="Times New Roman"/>
          <w:kern w:val="0"/>
          <w:sz w:val="24"/>
          <w:szCs w:val="24"/>
          <w:lang w:eastAsia="it-IT"/>
          <w14:ligatures w14:val="none"/>
        </w:rPr>
        <w:t xml:space="preserve">iato temporale tra disapplicazione immediata </w:t>
      </w:r>
      <w:r w:rsidR="00EC4297" w:rsidRPr="00C4795A">
        <w:rPr>
          <w:rFonts w:ascii="Times New Roman" w:eastAsia="Times New Roman" w:hAnsi="Times New Roman" w:cs="Times New Roman"/>
          <w:kern w:val="0"/>
          <w:sz w:val="24"/>
          <w:szCs w:val="24"/>
          <w:lang w:eastAsia="it-IT"/>
          <w14:ligatures w14:val="none"/>
        </w:rPr>
        <w:t xml:space="preserve">del diritto UE </w:t>
      </w:r>
      <w:r w:rsidR="00192820" w:rsidRPr="00C4795A">
        <w:rPr>
          <w:rFonts w:ascii="Times New Roman" w:eastAsia="Times New Roman" w:hAnsi="Times New Roman" w:cs="Times New Roman"/>
          <w:kern w:val="0"/>
          <w:sz w:val="24"/>
          <w:szCs w:val="24"/>
          <w:lang w:eastAsia="it-IT"/>
          <w14:ligatures w14:val="none"/>
        </w:rPr>
        <w:t>e definizione</w:t>
      </w:r>
      <w:r w:rsidR="007427C0" w:rsidRPr="00C4795A">
        <w:rPr>
          <w:rFonts w:ascii="Times New Roman" w:eastAsia="Times New Roman" w:hAnsi="Times New Roman" w:cs="Times New Roman"/>
          <w:kern w:val="0"/>
          <w:sz w:val="24"/>
          <w:szCs w:val="24"/>
          <w:lang w:eastAsia="it-IT"/>
          <w14:ligatures w14:val="none"/>
        </w:rPr>
        <w:t xml:space="preserve"> </w:t>
      </w:r>
      <w:r w:rsidR="00192820" w:rsidRPr="00C4795A">
        <w:rPr>
          <w:rFonts w:ascii="Times New Roman" w:eastAsia="Times New Roman" w:hAnsi="Times New Roman" w:cs="Times New Roman"/>
          <w:kern w:val="0"/>
          <w:sz w:val="24"/>
          <w:szCs w:val="24"/>
          <w:lang w:eastAsia="it-IT"/>
          <w14:ligatures w14:val="none"/>
        </w:rPr>
        <w:t xml:space="preserve">della questione di legittimità costituzionale. </w:t>
      </w:r>
    </w:p>
    <w:p w14:paraId="35D086CD" w14:textId="77777777" w:rsidR="001D2D82" w:rsidRPr="00C4795A" w:rsidRDefault="007427C0" w:rsidP="00FF3EEB">
      <w:pPr>
        <w:spacing w:after="0"/>
        <w:jc w:val="both"/>
        <w:rPr>
          <w:rFonts w:ascii="Times New Roman" w:eastAsia="Times New Roman" w:hAnsi="Times New Roman" w:cs="Times New Roman"/>
          <w:kern w:val="0"/>
          <w:sz w:val="24"/>
          <w:szCs w:val="24"/>
          <w:lang w:eastAsia="it-IT"/>
          <w14:ligatures w14:val="none"/>
        </w:rPr>
      </w:pPr>
      <w:r w:rsidRPr="00C4795A">
        <w:rPr>
          <w:rFonts w:ascii="Times New Roman" w:eastAsia="Times New Roman" w:hAnsi="Times New Roman" w:cs="Times New Roman"/>
          <w:kern w:val="0"/>
          <w:sz w:val="24"/>
          <w:szCs w:val="24"/>
          <w:lang w:eastAsia="it-IT"/>
          <w14:ligatures w14:val="none"/>
        </w:rPr>
        <w:t xml:space="preserve">Nessun problema sussiste </w:t>
      </w:r>
      <w:r w:rsidR="008609EF" w:rsidRPr="00C4795A">
        <w:rPr>
          <w:rFonts w:ascii="Times New Roman" w:eastAsia="Times New Roman" w:hAnsi="Times New Roman" w:cs="Times New Roman"/>
          <w:kern w:val="0"/>
          <w:sz w:val="24"/>
          <w:szCs w:val="24"/>
          <w:lang w:eastAsia="it-IT"/>
          <w14:ligatures w14:val="none"/>
        </w:rPr>
        <w:t xml:space="preserve">– giova ribadirlo – </w:t>
      </w:r>
      <w:r w:rsidRPr="00C4795A">
        <w:rPr>
          <w:rFonts w:ascii="Times New Roman" w:eastAsia="Times New Roman" w:hAnsi="Times New Roman" w:cs="Times New Roman"/>
          <w:kern w:val="0"/>
          <w:sz w:val="24"/>
          <w:szCs w:val="24"/>
          <w:lang w:eastAsia="it-IT"/>
          <w14:ligatures w14:val="none"/>
        </w:rPr>
        <w:t xml:space="preserve">quando sia disponibile una sede cautelare in cui possa provvisoriamente </w:t>
      </w:r>
      <w:r w:rsidR="0031470B" w:rsidRPr="00C4795A">
        <w:rPr>
          <w:rFonts w:ascii="Times New Roman" w:eastAsia="Times New Roman" w:hAnsi="Times New Roman" w:cs="Times New Roman"/>
          <w:kern w:val="0"/>
          <w:sz w:val="24"/>
          <w:szCs w:val="24"/>
          <w:lang w:eastAsia="it-IT"/>
          <w14:ligatures w14:val="none"/>
        </w:rPr>
        <w:t xml:space="preserve">essere </w:t>
      </w:r>
      <w:r w:rsidRPr="00C4795A">
        <w:rPr>
          <w:rFonts w:ascii="Times New Roman" w:eastAsia="Times New Roman" w:hAnsi="Times New Roman" w:cs="Times New Roman"/>
          <w:kern w:val="0"/>
          <w:sz w:val="24"/>
          <w:szCs w:val="24"/>
          <w:lang w:eastAsia="it-IT"/>
          <w14:ligatures w14:val="none"/>
        </w:rPr>
        <w:t xml:space="preserve">erogata la tutela unionale </w:t>
      </w:r>
      <w:r w:rsidR="0031470B" w:rsidRPr="00C4795A">
        <w:rPr>
          <w:rFonts w:ascii="Times New Roman" w:eastAsia="Times New Roman" w:hAnsi="Times New Roman" w:cs="Times New Roman"/>
          <w:kern w:val="0"/>
          <w:sz w:val="24"/>
          <w:szCs w:val="24"/>
          <w:lang w:eastAsia="it-IT"/>
          <w14:ligatures w14:val="none"/>
        </w:rPr>
        <w:t xml:space="preserve">(cioè </w:t>
      </w:r>
      <w:r w:rsidRPr="00C4795A">
        <w:rPr>
          <w:rFonts w:ascii="Times New Roman" w:eastAsia="Times New Roman" w:hAnsi="Times New Roman" w:cs="Times New Roman"/>
          <w:kern w:val="0"/>
          <w:sz w:val="24"/>
          <w:szCs w:val="24"/>
          <w:lang w:eastAsia="it-IT"/>
          <w14:ligatures w14:val="none"/>
        </w:rPr>
        <w:t>derivante dalla disapplicazione della norma interna</w:t>
      </w:r>
      <w:r w:rsidR="0031470B" w:rsidRPr="00C4795A">
        <w:rPr>
          <w:rFonts w:ascii="Times New Roman" w:eastAsia="Times New Roman" w:hAnsi="Times New Roman" w:cs="Times New Roman"/>
          <w:kern w:val="0"/>
          <w:sz w:val="24"/>
          <w:szCs w:val="24"/>
          <w:lang w:eastAsia="it-IT"/>
          <w14:ligatures w14:val="none"/>
        </w:rPr>
        <w:t>) nelle more del giudizio di costituzionalità. Riassunta</w:t>
      </w:r>
      <w:r w:rsidR="00731D76" w:rsidRPr="00C4795A">
        <w:rPr>
          <w:rFonts w:ascii="Times New Roman" w:eastAsia="Times New Roman" w:hAnsi="Times New Roman" w:cs="Times New Roman"/>
          <w:kern w:val="0"/>
          <w:sz w:val="24"/>
          <w:szCs w:val="24"/>
          <w:lang w:eastAsia="it-IT"/>
          <w14:ligatures w14:val="none"/>
        </w:rPr>
        <w:t>,</w:t>
      </w:r>
      <w:r w:rsidR="0031470B" w:rsidRPr="00C4795A">
        <w:rPr>
          <w:rFonts w:ascii="Times New Roman" w:eastAsia="Times New Roman" w:hAnsi="Times New Roman" w:cs="Times New Roman"/>
          <w:kern w:val="0"/>
          <w:sz w:val="24"/>
          <w:szCs w:val="24"/>
          <w:lang w:eastAsia="it-IT"/>
          <w14:ligatures w14:val="none"/>
        </w:rPr>
        <w:t xml:space="preserve"> infatti</w:t>
      </w:r>
      <w:r w:rsidR="00731D76" w:rsidRPr="00C4795A">
        <w:rPr>
          <w:rFonts w:ascii="Times New Roman" w:eastAsia="Times New Roman" w:hAnsi="Times New Roman" w:cs="Times New Roman"/>
          <w:kern w:val="0"/>
          <w:sz w:val="24"/>
          <w:szCs w:val="24"/>
          <w:lang w:eastAsia="it-IT"/>
          <w14:ligatures w14:val="none"/>
        </w:rPr>
        <w:t>,</w:t>
      </w:r>
      <w:r w:rsidR="0031470B" w:rsidRPr="00C4795A">
        <w:rPr>
          <w:rFonts w:ascii="Times New Roman" w:eastAsia="Times New Roman" w:hAnsi="Times New Roman" w:cs="Times New Roman"/>
          <w:kern w:val="0"/>
          <w:sz w:val="24"/>
          <w:szCs w:val="24"/>
          <w:lang w:eastAsia="it-IT"/>
          <w14:ligatures w14:val="none"/>
        </w:rPr>
        <w:t xml:space="preserve"> la decisione nel merito all’esito dell’incidente di costituzionalità, </w:t>
      </w:r>
      <w:r w:rsidR="00731D76" w:rsidRPr="00C4795A">
        <w:rPr>
          <w:rFonts w:ascii="Times New Roman" w:eastAsia="Times New Roman" w:hAnsi="Times New Roman" w:cs="Times New Roman"/>
          <w:kern w:val="0"/>
          <w:sz w:val="24"/>
          <w:szCs w:val="24"/>
          <w:lang w:eastAsia="it-IT"/>
          <w14:ligatures w14:val="none"/>
        </w:rPr>
        <w:t xml:space="preserve">rimedio interno e rimedio europeo </w:t>
      </w:r>
      <w:r w:rsidR="0031470B" w:rsidRPr="00C4795A">
        <w:rPr>
          <w:rFonts w:ascii="Times New Roman" w:eastAsia="Times New Roman" w:hAnsi="Times New Roman" w:cs="Times New Roman"/>
          <w:kern w:val="0"/>
          <w:sz w:val="24"/>
          <w:szCs w:val="24"/>
          <w:lang w:eastAsia="it-IT"/>
          <w14:ligatures w14:val="none"/>
        </w:rPr>
        <w:t>si allineano</w:t>
      </w:r>
      <w:r w:rsidR="008609EF" w:rsidRPr="00C4795A">
        <w:rPr>
          <w:rFonts w:ascii="Times New Roman" w:eastAsia="Times New Roman" w:hAnsi="Times New Roman" w:cs="Times New Roman"/>
          <w:kern w:val="0"/>
          <w:sz w:val="24"/>
          <w:szCs w:val="24"/>
          <w:lang w:eastAsia="it-IT"/>
          <w14:ligatures w14:val="none"/>
        </w:rPr>
        <w:t xml:space="preserve"> senza contrasti, armonicamente</w:t>
      </w:r>
      <w:r w:rsidR="0031470B" w:rsidRPr="00C4795A">
        <w:rPr>
          <w:rFonts w:ascii="Times New Roman" w:eastAsia="Times New Roman" w:hAnsi="Times New Roman" w:cs="Times New Roman"/>
          <w:kern w:val="0"/>
          <w:sz w:val="24"/>
          <w:szCs w:val="24"/>
          <w:lang w:eastAsia="it-IT"/>
          <w14:ligatures w14:val="none"/>
        </w:rPr>
        <w:t>.</w:t>
      </w:r>
      <w:r w:rsidR="008609EF" w:rsidRPr="00C4795A">
        <w:rPr>
          <w:rFonts w:ascii="Times New Roman" w:eastAsia="Times New Roman" w:hAnsi="Times New Roman" w:cs="Times New Roman"/>
          <w:kern w:val="0"/>
          <w:sz w:val="24"/>
          <w:szCs w:val="24"/>
          <w:lang w:eastAsia="it-IT"/>
          <w14:ligatures w14:val="none"/>
        </w:rPr>
        <w:t xml:space="preserve"> </w:t>
      </w:r>
    </w:p>
    <w:p w14:paraId="5353CDA4" w14:textId="7D1E48B6" w:rsidR="00FF3EEB" w:rsidRPr="00C4795A" w:rsidRDefault="008609EF" w:rsidP="00FF3EEB">
      <w:pPr>
        <w:spacing w:after="0"/>
        <w:jc w:val="both"/>
        <w:rPr>
          <w:rFonts w:ascii="Times New Roman" w:eastAsia="Times New Roman" w:hAnsi="Times New Roman" w:cs="Times New Roman"/>
          <w:kern w:val="0"/>
          <w:sz w:val="24"/>
          <w:szCs w:val="24"/>
          <w:lang w:eastAsia="it-IT"/>
          <w14:ligatures w14:val="none"/>
        </w:rPr>
      </w:pPr>
      <w:r w:rsidRPr="00C4795A">
        <w:rPr>
          <w:rFonts w:ascii="Times New Roman" w:eastAsia="Times New Roman" w:hAnsi="Times New Roman" w:cs="Times New Roman"/>
          <w:kern w:val="0"/>
          <w:sz w:val="24"/>
          <w:szCs w:val="24"/>
          <w:lang w:eastAsia="it-IT"/>
          <w14:ligatures w14:val="none"/>
        </w:rPr>
        <w:t>Si è</w:t>
      </w:r>
      <w:r w:rsidR="00731D76" w:rsidRPr="00C4795A">
        <w:rPr>
          <w:rFonts w:ascii="Times New Roman" w:eastAsia="Times New Roman" w:hAnsi="Times New Roman" w:cs="Times New Roman"/>
          <w:kern w:val="0"/>
          <w:sz w:val="24"/>
          <w:szCs w:val="24"/>
          <w:lang w:eastAsia="it-IT"/>
          <w14:ligatures w14:val="none"/>
        </w:rPr>
        <w:t>,</w:t>
      </w:r>
      <w:r w:rsidRPr="00C4795A">
        <w:rPr>
          <w:rFonts w:ascii="Times New Roman" w:eastAsia="Times New Roman" w:hAnsi="Times New Roman" w:cs="Times New Roman"/>
          <w:kern w:val="0"/>
          <w:sz w:val="24"/>
          <w:szCs w:val="24"/>
          <w:lang w:eastAsia="it-IT"/>
          <w14:ligatures w14:val="none"/>
        </w:rPr>
        <w:t xml:space="preserve"> però</w:t>
      </w:r>
      <w:r w:rsidR="00731D76" w:rsidRPr="00C4795A">
        <w:rPr>
          <w:rFonts w:ascii="Times New Roman" w:eastAsia="Times New Roman" w:hAnsi="Times New Roman" w:cs="Times New Roman"/>
          <w:kern w:val="0"/>
          <w:sz w:val="24"/>
          <w:szCs w:val="24"/>
          <w:lang w:eastAsia="it-IT"/>
          <w14:ligatures w14:val="none"/>
        </w:rPr>
        <w:t>,</w:t>
      </w:r>
      <w:r w:rsidRPr="00C4795A">
        <w:rPr>
          <w:rFonts w:ascii="Times New Roman" w:eastAsia="Times New Roman" w:hAnsi="Times New Roman" w:cs="Times New Roman"/>
          <w:kern w:val="0"/>
          <w:sz w:val="24"/>
          <w:szCs w:val="24"/>
          <w:lang w:eastAsia="it-IT"/>
          <w14:ligatures w14:val="none"/>
        </w:rPr>
        <w:t xml:space="preserve"> rilevato che non </w:t>
      </w:r>
      <w:r w:rsidR="0031470B" w:rsidRPr="00C4795A">
        <w:rPr>
          <w:rFonts w:ascii="Times New Roman" w:eastAsia="Times New Roman" w:hAnsi="Times New Roman" w:cs="Times New Roman"/>
          <w:kern w:val="0"/>
          <w:sz w:val="24"/>
          <w:szCs w:val="24"/>
          <w:lang w:eastAsia="it-IT"/>
          <w14:ligatures w14:val="none"/>
        </w:rPr>
        <w:t>sempre ricorrono le condizioni per esercitare poteri cautelari</w:t>
      </w:r>
      <w:r w:rsidR="00A3000C" w:rsidRPr="00C4795A">
        <w:rPr>
          <w:rFonts w:ascii="Times New Roman" w:eastAsia="Times New Roman" w:hAnsi="Times New Roman" w:cs="Times New Roman"/>
          <w:kern w:val="0"/>
          <w:sz w:val="24"/>
          <w:szCs w:val="24"/>
          <w:lang w:eastAsia="it-IT"/>
          <w14:ligatures w14:val="none"/>
        </w:rPr>
        <w:t xml:space="preserve">. </w:t>
      </w:r>
      <w:r w:rsidR="007427C0" w:rsidRPr="00C4795A">
        <w:rPr>
          <w:rFonts w:ascii="Times New Roman" w:eastAsia="Times New Roman" w:hAnsi="Times New Roman" w:cs="Times New Roman"/>
          <w:kern w:val="0"/>
          <w:sz w:val="24"/>
          <w:szCs w:val="24"/>
          <w:lang w:eastAsia="it-IT"/>
          <w14:ligatures w14:val="none"/>
        </w:rPr>
        <w:t>Si può convenire che si tratti in fondo, di ipotesi statisticamente residuali, che non compromettono in maniera sistematica l’immediatezza di tutela reclamata da</w:t>
      </w:r>
      <w:r w:rsidR="0031470B" w:rsidRPr="00C4795A">
        <w:rPr>
          <w:rFonts w:ascii="Times New Roman" w:eastAsia="Times New Roman" w:hAnsi="Times New Roman" w:cs="Times New Roman"/>
          <w:kern w:val="0"/>
          <w:sz w:val="24"/>
          <w:szCs w:val="24"/>
          <w:lang w:eastAsia="it-IT"/>
          <w14:ligatures w14:val="none"/>
        </w:rPr>
        <w:t>i principi del primato e dell’effetto diretto</w:t>
      </w:r>
      <w:r w:rsidR="007427C0" w:rsidRPr="00C4795A">
        <w:rPr>
          <w:rFonts w:ascii="Times New Roman" w:eastAsia="Times New Roman" w:hAnsi="Times New Roman" w:cs="Times New Roman"/>
          <w:kern w:val="0"/>
          <w:sz w:val="24"/>
          <w:szCs w:val="24"/>
          <w:lang w:eastAsia="it-IT"/>
          <w14:ligatures w14:val="none"/>
        </w:rPr>
        <w:t xml:space="preserve"> </w:t>
      </w:r>
      <w:r w:rsidR="0031470B" w:rsidRPr="00C4795A">
        <w:rPr>
          <w:rFonts w:ascii="Times New Roman" w:eastAsia="Times New Roman" w:hAnsi="Times New Roman" w:cs="Times New Roman"/>
          <w:kern w:val="0"/>
          <w:sz w:val="24"/>
          <w:szCs w:val="24"/>
          <w:lang w:eastAsia="it-IT"/>
          <w14:ligatures w14:val="none"/>
        </w:rPr>
        <w:t xml:space="preserve">del </w:t>
      </w:r>
      <w:r w:rsidR="007427C0" w:rsidRPr="00C4795A">
        <w:rPr>
          <w:rFonts w:ascii="Times New Roman" w:eastAsia="Times New Roman" w:hAnsi="Times New Roman" w:cs="Times New Roman"/>
          <w:kern w:val="0"/>
          <w:sz w:val="24"/>
          <w:szCs w:val="24"/>
          <w:lang w:eastAsia="it-IT"/>
          <w14:ligatures w14:val="none"/>
        </w:rPr>
        <w:t xml:space="preserve">diritto </w:t>
      </w:r>
      <w:r w:rsidR="0031470B" w:rsidRPr="00C4795A">
        <w:rPr>
          <w:rFonts w:ascii="Times New Roman" w:eastAsia="Times New Roman" w:hAnsi="Times New Roman" w:cs="Times New Roman"/>
          <w:kern w:val="0"/>
          <w:sz w:val="24"/>
          <w:szCs w:val="24"/>
          <w:lang w:eastAsia="it-IT"/>
          <w14:ligatures w14:val="none"/>
        </w:rPr>
        <w:t>unionale e non possono infirmare la complessiva scelta sottostante al ‘protocollo 181’</w:t>
      </w:r>
      <w:r w:rsidR="007427C0" w:rsidRPr="00C4795A">
        <w:rPr>
          <w:rFonts w:ascii="Times New Roman" w:eastAsia="Times New Roman" w:hAnsi="Times New Roman" w:cs="Times New Roman"/>
          <w:kern w:val="0"/>
          <w:sz w:val="24"/>
          <w:szCs w:val="24"/>
          <w:lang w:eastAsia="it-IT"/>
          <w14:ligatures w14:val="none"/>
        </w:rPr>
        <w:t>.</w:t>
      </w:r>
    </w:p>
    <w:p w14:paraId="62E9F1D9" w14:textId="03E11C79" w:rsidR="00EF6400" w:rsidRPr="00C4795A" w:rsidRDefault="007427C0" w:rsidP="00346AEA">
      <w:pPr>
        <w:spacing w:after="0"/>
        <w:jc w:val="both"/>
        <w:rPr>
          <w:rFonts w:ascii="Times New Roman" w:eastAsia="Times New Roman" w:hAnsi="Times New Roman" w:cs="Times New Roman"/>
          <w:kern w:val="0"/>
          <w:sz w:val="24"/>
          <w:szCs w:val="24"/>
          <w:lang w:eastAsia="it-IT"/>
          <w14:ligatures w14:val="none"/>
        </w:rPr>
      </w:pPr>
      <w:r w:rsidRPr="00C4795A">
        <w:rPr>
          <w:rFonts w:ascii="Times New Roman" w:eastAsia="Times New Roman" w:hAnsi="Times New Roman" w:cs="Times New Roman"/>
          <w:kern w:val="0"/>
          <w:sz w:val="24"/>
          <w:szCs w:val="24"/>
          <w:lang w:eastAsia="it-IT"/>
          <w14:ligatures w14:val="none"/>
        </w:rPr>
        <w:t>Resta</w:t>
      </w:r>
      <w:r w:rsidR="00F717EC" w:rsidRPr="00C4795A">
        <w:rPr>
          <w:rFonts w:ascii="Times New Roman" w:eastAsia="Times New Roman" w:hAnsi="Times New Roman" w:cs="Times New Roman"/>
          <w:kern w:val="0"/>
          <w:sz w:val="24"/>
          <w:szCs w:val="24"/>
          <w:lang w:eastAsia="it-IT"/>
          <w14:ligatures w14:val="none"/>
        </w:rPr>
        <w:t>,</w:t>
      </w:r>
      <w:r w:rsidRPr="00C4795A">
        <w:rPr>
          <w:rFonts w:ascii="Times New Roman" w:eastAsia="Times New Roman" w:hAnsi="Times New Roman" w:cs="Times New Roman"/>
          <w:kern w:val="0"/>
          <w:sz w:val="24"/>
          <w:szCs w:val="24"/>
          <w:lang w:eastAsia="it-IT"/>
          <w14:ligatures w14:val="none"/>
        </w:rPr>
        <w:t xml:space="preserve"> però</w:t>
      </w:r>
      <w:r w:rsidR="00F717EC" w:rsidRPr="00C4795A">
        <w:rPr>
          <w:rFonts w:ascii="Times New Roman" w:eastAsia="Times New Roman" w:hAnsi="Times New Roman" w:cs="Times New Roman"/>
          <w:kern w:val="0"/>
          <w:sz w:val="24"/>
          <w:szCs w:val="24"/>
          <w:lang w:eastAsia="it-IT"/>
          <w14:ligatures w14:val="none"/>
        </w:rPr>
        <w:t>,</w:t>
      </w:r>
      <w:r w:rsidRPr="00C4795A">
        <w:rPr>
          <w:rFonts w:ascii="Times New Roman" w:eastAsia="Times New Roman" w:hAnsi="Times New Roman" w:cs="Times New Roman"/>
          <w:kern w:val="0"/>
          <w:sz w:val="24"/>
          <w:szCs w:val="24"/>
          <w:lang w:eastAsia="it-IT"/>
          <w14:ligatures w14:val="none"/>
        </w:rPr>
        <w:t xml:space="preserve"> il fatto che, a rigore, e seppur per le ipotesi limitate in cui difettano rimedi cautelari, nello spazio temporale </w:t>
      </w:r>
      <w:r w:rsidR="00EC4297" w:rsidRPr="00C4795A">
        <w:rPr>
          <w:rFonts w:ascii="Times New Roman" w:eastAsia="Times New Roman" w:hAnsi="Times New Roman" w:cs="Times New Roman"/>
          <w:kern w:val="0"/>
          <w:sz w:val="24"/>
          <w:szCs w:val="24"/>
          <w:lang w:eastAsia="it-IT"/>
          <w14:ligatures w14:val="none"/>
        </w:rPr>
        <w:t>che va dall</w:t>
      </w:r>
      <w:r w:rsidR="009D36C3" w:rsidRPr="00C4795A">
        <w:rPr>
          <w:rFonts w:ascii="Times New Roman" w:eastAsia="Times New Roman" w:hAnsi="Times New Roman" w:cs="Times New Roman"/>
          <w:kern w:val="0"/>
          <w:sz w:val="24"/>
          <w:szCs w:val="24"/>
          <w:lang w:eastAsia="it-IT"/>
          <w14:ligatures w14:val="none"/>
        </w:rPr>
        <w:t xml:space="preserve">’incardinamento </w:t>
      </w:r>
      <w:r w:rsidR="00EC4297" w:rsidRPr="00C4795A">
        <w:rPr>
          <w:rFonts w:ascii="Times New Roman" w:hAnsi="Times New Roman" w:cs="Times New Roman"/>
          <w:sz w:val="24"/>
          <w:szCs w:val="24"/>
        </w:rPr>
        <w:t>alla definizione del giudizio di costituzionalità o</w:t>
      </w:r>
      <w:r w:rsidR="00922934" w:rsidRPr="00C4795A">
        <w:rPr>
          <w:rFonts w:ascii="Times New Roman" w:hAnsi="Times New Roman" w:cs="Times New Roman"/>
          <w:sz w:val="24"/>
          <w:szCs w:val="24"/>
        </w:rPr>
        <w:t>, meglio,</w:t>
      </w:r>
      <w:r w:rsidR="00602FB8" w:rsidRPr="00C4795A">
        <w:rPr>
          <w:rFonts w:ascii="Times New Roman" w:hAnsi="Times New Roman" w:cs="Times New Roman"/>
          <w:sz w:val="24"/>
          <w:szCs w:val="24"/>
        </w:rPr>
        <w:t xml:space="preserve"> </w:t>
      </w:r>
      <w:r w:rsidR="00EC4297" w:rsidRPr="00C4795A">
        <w:rPr>
          <w:rFonts w:ascii="Times New Roman" w:hAnsi="Times New Roman" w:cs="Times New Roman"/>
          <w:sz w:val="24"/>
          <w:szCs w:val="24"/>
        </w:rPr>
        <w:t xml:space="preserve">all’eventuale riassunzione da parte del giudice </w:t>
      </w:r>
      <w:r w:rsidR="00EC4297" w:rsidRPr="00C4795A">
        <w:rPr>
          <w:rFonts w:ascii="Times New Roman" w:hAnsi="Times New Roman" w:cs="Times New Roman"/>
          <w:i/>
          <w:iCs/>
          <w:sz w:val="24"/>
          <w:szCs w:val="24"/>
        </w:rPr>
        <w:t>a quo</w:t>
      </w:r>
      <w:r w:rsidR="00EC4297" w:rsidRPr="00C4795A">
        <w:rPr>
          <w:rFonts w:ascii="Times New Roman" w:hAnsi="Times New Roman" w:cs="Times New Roman"/>
          <w:sz w:val="24"/>
          <w:szCs w:val="24"/>
        </w:rPr>
        <w:t>, le parti del giudizio principale restano prive del bene della vita che reclamano in forza di una norma unionale direttamente efficace</w:t>
      </w:r>
      <w:r w:rsidR="0023473B" w:rsidRPr="00C4795A">
        <w:rPr>
          <w:rStyle w:val="Rimandonotaapidipagina"/>
          <w:rFonts w:ascii="Times New Roman" w:hAnsi="Times New Roman" w:cs="Times New Roman"/>
          <w:sz w:val="24"/>
          <w:szCs w:val="24"/>
        </w:rPr>
        <w:footnoteReference w:id="74"/>
      </w:r>
      <w:r w:rsidR="00C26D40" w:rsidRPr="00C4795A">
        <w:rPr>
          <w:rFonts w:ascii="Times New Roman" w:hAnsi="Times New Roman" w:cs="Times New Roman"/>
          <w:sz w:val="24"/>
          <w:szCs w:val="24"/>
        </w:rPr>
        <w:t xml:space="preserve">; </w:t>
      </w:r>
      <w:r w:rsidR="0031470B" w:rsidRPr="00C4795A">
        <w:rPr>
          <w:rFonts w:ascii="Times New Roman" w:hAnsi="Times New Roman" w:cs="Times New Roman"/>
          <w:sz w:val="24"/>
          <w:szCs w:val="24"/>
        </w:rPr>
        <w:t>e questo espone a un contrasto con la più volte sopra ricordata giurisprudenza della CGUE</w:t>
      </w:r>
      <w:r w:rsidR="00EC4297" w:rsidRPr="00C4795A">
        <w:rPr>
          <w:rFonts w:ascii="Times New Roman" w:hAnsi="Times New Roman" w:cs="Times New Roman"/>
          <w:sz w:val="24"/>
          <w:szCs w:val="24"/>
        </w:rPr>
        <w:t xml:space="preserve">. Per </w:t>
      </w:r>
      <w:r w:rsidR="00657175" w:rsidRPr="00C4795A">
        <w:rPr>
          <w:rFonts w:ascii="Times New Roman" w:hAnsi="Times New Roman" w:cs="Times New Roman"/>
          <w:sz w:val="24"/>
          <w:szCs w:val="24"/>
        </w:rPr>
        <w:t xml:space="preserve">questo </w:t>
      </w:r>
      <w:r w:rsidR="00EC4297" w:rsidRPr="00C4795A">
        <w:rPr>
          <w:rFonts w:ascii="Times New Roman" w:hAnsi="Times New Roman" w:cs="Times New Roman"/>
          <w:sz w:val="24"/>
          <w:szCs w:val="24"/>
        </w:rPr>
        <w:t>tratto di strada</w:t>
      </w:r>
      <w:r w:rsidR="00602FB8" w:rsidRPr="00C4795A">
        <w:rPr>
          <w:rFonts w:ascii="Times New Roman" w:hAnsi="Times New Roman" w:cs="Times New Roman"/>
          <w:sz w:val="24"/>
          <w:szCs w:val="24"/>
        </w:rPr>
        <w:t xml:space="preserve"> (breve o meno breve che sia)</w:t>
      </w:r>
      <w:r w:rsidR="00EC4297" w:rsidRPr="00C4795A">
        <w:rPr>
          <w:rFonts w:ascii="Times New Roman" w:hAnsi="Times New Roman" w:cs="Times New Roman"/>
          <w:sz w:val="24"/>
          <w:szCs w:val="24"/>
        </w:rPr>
        <w:t xml:space="preserve">, il cammino della Corte e il percorso unionale sono </w:t>
      </w:r>
      <w:r w:rsidR="008609EF" w:rsidRPr="00C4795A">
        <w:rPr>
          <w:rFonts w:ascii="Times New Roman" w:hAnsi="Times New Roman" w:cs="Times New Roman"/>
          <w:sz w:val="24"/>
          <w:szCs w:val="24"/>
        </w:rPr>
        <w:t xml:space="preserve">ancora non pienamente </w:t>
      </w:r>
      <w:r w:rsidR="00EC4297" w:rsidRPr="00C4795A">
        <w:rPr>
          <w:rFonts w:ascii="Times New Roman" w:hAnsi="Times New Roman" w:cs="Times New Roman"/>
          <w:sz w:val="24"/>
          <w:szCs w:val="24"/>
        </w:rPr>
        <w:t xml:space="preserve">allineati. </w:t>
      </w:r>
      <w:r w:rsidR="00EF6400" w:rsidRPr="00C4795A">
        <w:rPr>
          <w:rFonts w:ascii="Times New Roman" w:hAnsi="Times New Roman" w:cs="Times New Roman"/>
          <w:sz w:val="24"/>
          <w:szCs w:val="24"/>
        </w:rPr>
        <w:t>Come accordare</w:t>
      </w:r>
      <w:r w:rsidR="00657175" w:rsidRPr="00C4795A">
        <w:rPr>
          <w:rFonts w:ascii="Times New Roman" w:hAnsi="Times New Roman" w:cs="Times New Roman"/>
          <w:sz w:val="24"/>
          <w:szCs w:val="24"/>
        </w:rPr>
        <w:t>,</w:t>
      </w:r>
      <w:r w:rsidR="00EF6400" w:rsidRPr="00C4795A">
        <w:rPr>
          <w:rFonts w:ascii="Times New Roman" w:hAnsi="Times New Roman" w:cs="Times New Roman"/>
          <w:sz w:val="24"/>
          <w:szCs w:val="24"/>
        </w:rPr>
        <w:t xml:space="preserve"> </w:t>
      </w:r>
      <w:r w:rsidR="00657175" w:rsidRPr="00C4795A">
        <w:rPr>
          <w:rFonts w:ascii="Times New Roman" w:hAnsi="Times New Roman" w:cs="Times New Roman"/>
          <w:sz w:val="24"/>
          <w:szCs w:val="24"/>
        </w:rPr>
        <w:t xml:space="preserve">allora, </w:t>
      </w:r>
      <w:r w:rsidRPr="00C4795A">
        <w:rPr>
          <w:rFonts w:ascii="Times New Roman" w:hAnsi="Times New Roman" w:cs="Times New Roman"/>
          <w:sz w:val="24"/>
          <w:szCs w:val="24"/>
        </w:rPr>
        <w:t xml:space="preserve">anche in queste residuali ipotesi, </w:t>
      </w:r>
      <w:r w:rsidR="00EF6400" w:rsidRPr="00C4795A">
        <w:rPr>
          <w:rFonts w:ascii="Times New Roman" w:hAnsi="Times New Roman" w:cs="Times New Roman"/>
          <w:sz w:val="24"/>
          <w:szCs w:val="24"/>
        </w:rPr>
        <w:t>disapplicazione diffusa e sindacato accentrato di costituzionalità, immediatezza temporale e qualità sostanziale nella tutela dei diritti fondamentali?</w:t>
      </w:r>
    </w:p>
    <w:p w14:paraId="20FF90B9" w14:textId="77777777" w:rsidR="003B46B2" w:rsidRPr="00C4795A" w:rsidRDefault="00C5493F" w:rsidP="00FF3EEB">
      <w:pPr>
        <w:spacing w:after="0"/>
        <w:jc w:val="both"/>
        <w:rPr>
          <w:rFonts w:ascii="Times New Roman" w:eastAsia="Times New Roman" w:hAnsi="Times New Roman" w:cs="Times New Roman"/>
          <w:kern w:val="0"/>
          <w:sz w:val="24"/>
          <w:szCs w:val="24"/>
          <w:lang w:eastAsia="it-IT"/>
          <w14:ligatures w14:val="none"/>
        </w:rPr>
      </w:pPr>
      <w:r w:rsidRPr="00C4795A">
        <w:rPr>
          <w:rFonts w:ascii="Times New Roman" w:hAnsi="Times New Roman" w:cs="Times New Roman"/>
          <w:sz w:val="24"/>
          <w:szCs w:val="24"/>
        </w:rPr>
        <w:t>Occorre</w:t>
      </w:r>
      <w:r w:rsidR="0031470B" w:rsidRPr="00C4795A">
        <w:rPr>
          <w:rFonts w:ascii="Times New Roman" w:hAnsi="Times New Roman" w:cs="Times New Roman"/>
          <w:sz w:val="24"/>
          <w:szCs w:val="24"/>
        </w:rPr>
        <w:t>rebbe</w:t>
      </w:r>
      <w:r w:rsidRPr="00C4795A">
        <w:rPr>
          <w:rFonts w:ascii="Times New Roman" w:hAnsi="Times New Roman" w:cs="Times New Roman"/>
          <w:sz w:val="24"/>
          <w:szCs w:val="24"/>
        </w:rPr>
        <w:t xml:space="preserve"> rendere contestuali la disapplicazione </w:t>
      </w:r>
      <w:proofErr w:type="gramStart"/>
      <w:r w:rsidR="0015040A" w:rsidRPr="00C4795A">
        <w:rPr>
          <w:rFonts w:ascii="Times New Roman" w:hAnsi="Times New Roman" w:cs="Times New Roman"/>
          <w:i/>
          <w:iCs/>
          <w:sz w:val="24"/>
          <w:szCs w:val="24"/>
        </w:rPr>
        <w:t>inter partes</w:t>
      </w:r>
      <w:proofErr w:type="gramEnd"/>
      <w:r w:rsidR="0015040A" w:rsidRPr="00C4795A">
        <w:rPr>
          <w:rFonts w:ascii="Times New Roman" w:hAnsi="Times New Roman" w:cs="Times New Roman"/>
          <w:sz w:val="24"/>
          <w:szCs w:val="24"/>
        </w:rPr>
        <w:t xml:space="preserve"> </w:t>
      </w:r>
      <w:r w:rsidRPr="00C4795A">
        <w:rPr>
          <w:rFonts w:ascii="Times New Roman" w:hAnsi="Times New Roman" w:cs="Times New Roman"/>
          <w:sz w:val="24"/>
          <w:szCs w:val="24"/>
        </w:rPr>
        <w:t>e l’attivazione dell’incidente costituzionale</w:t>
      </w:r>
      <w:r w:rsidR="00BC1DDF" w:rsidRPr="00C4795A">
        <w:rPr>
          <w:rFonts w:ascii="Times New Roman" w:eastAsia="Times New Roman" w:hAnsi="Times New Roman" w:cs="Times New Roman"/>
          <w:kern w:val="0"/>
          <w:sz w:val="24"/>
          <w:szCs w:val="24"/>
          <w:lang w:eastAsia="it-IT"/>
          <w14:ligatures w14:val="none"/>
        </w:rPr>
        <w:t>.</w:t>
      </w:r>
      <w:r w:rsidR="00192820" w:rsidRPr="00C4795A">
        <w:rPr>
          <w:rFonts w:ascii="Times New Roman" w:eastAsia="Times New Roman" w:hAnsi="Times New Roman" w:cs="Times New Roman"/>
          <w:kern w:val="0"/>
          <w:sz w:val="24"/>
          <w:szCs w:val="24"/>
          <w:lang w:eastAsia="it-IT"/>
          <w14:ligatures w14:val="none"/>
        </w:rPr>
        <w:t xml:space="preserve"> </w:t>
      </w:r>
      <w:r w:rsidR="008609EF" w:rsidRPr="00C4795A">
        <w:rPr>
          <w:rFonts w:ascii="Times New Roman" w:eastAsia="Times New Roman" w:hAnsi="Times New Roman" w:cs="Times New Roman"/>
          <w:kern w:val="0"/>
          <w:sz w:val="24"/>
          <w:szCs w:val="24"/>
          <w:lang w:eastAsia="it-IT"/>
          <w14:ligatures w14:val="none"/>
        </w:rPr>
        <w:t xml:space="preserve">Quanti hanno </w:t>
      </w:r>
      <w:r w:rsidR="0015040A" w:rsidRPr="00C4795A">
        <w:rPr>
          <w:rFonts w:ascii="Times New Roman" w:eastAsia="Times New Roman" w:hAnsi="Times New Roman" w:cs="Times New Roman"/>
          <w:kern w:val="0"/>
          <w:sz w:val="24"/>
          <w:szCs w:val="24"/>
          <w:lang w:eastAsia="it-IT"/>
          <w14:ligatures w14:val="none"/>
        </w:rPr>
        <w:t xml:space="preserve">avvertito </w:t>
      </w:r>
      <w:r w:rsidR="008609EF" w:rsidRPr="00C4795A">
        <w:rPr>
          <w:rFonts w:ascii="Times New Roman" w:eastAsia="Times New Roman" w:hAnsi="Times New Roman" w:cs="Times New Roman"/>
          <w:kern w:val="0"/>
          <w:sz w:val="24"/>
          <w:szCs w:val="24"/>
          <w:lang w:eastAsia="it-IT"/>
          <w14:ligatures w14:val="none"/>
        </w:rPr>
        <w:t xml:space="preserve">una simile esigenza hanno </w:t>
      </w:r>
      <w:r w:rsidR="0015040A" w:rsidRPr="00C4795A">
        <w:rPr>
          <w:rFonts w:ascii="Times New Roman" w:eastAsia="Times New Roman" w:hAnsi="Times New Roman" w:cs="Times New Roman"/>
          <w:kern w:val="0"/>
          <w:sz w:val="24"/>
          <w:szCs w:val="24"/>
          <w:lang w:eastAsia="it-IT"/>
          <w14:ligatures w14:val="none"/>
        </w:rPr>
        <w:t xml:space="preserve">proposto di </w:t>
      </w:r>
      <w:r w:rsidR="00FF3EEB" w:rsidRPr="00C4795A">
        <w:rPr>
          <w:rFonts w:ascii="Times New Roman" w:eastAsia="Times New Roman" w:hAnsi="Times New Roman" w:cs="Times New Roman"/>
          <w:kern w:val="0"/>
          <w:sz w:val="24"/>
          <w:szCs w:val="24"/>
          <w:lang w:eastAsia="it-IT"/>
          <w14:ligatures w14:val="none"/>
        </w:rPr>
        <w:t>ri</w:t>
      </w:r>
      <w:r w:rsidR="0015040A" w:rsidRPr="00C4795A">
        <w:rPr>
          <w:rFonts w:ascii="Times New Roman" w:eastAsia="Times New Roman" w:hAnsi="Times New Roman" w:cs="Times New Roman"/>
          <w:kern w:val="0"/>
          <w:sz w:val="24"/>
          <w:szCs w:val="24"/>
          <w:lang w:eastAsia="it-IT"/>
          <w14:ligatures w14:val="none"/>
        </w:rPr>
        <w:t xml:space="preserve">considerare il </w:t>
      </w:r>
      <w:r w:rsidR="00FF3EEB" w:rsidRPr="00C4795A">
        <w:rPr>
          <w:rFonts w:ascii="Times New Roman" w:eastAsia="Times New Roman" w:hAnsi="Times New Roman" w:cs="Times New Roman"/>
          <w:kern w:val="0"/>
          <w:sz w:val="24"/>
          <w:szCs w:val="24"/>
          <w:lang w:eastAsia="it-IT"/>
          <w14:ligatures w14:val="none"/>
        </w:rPr>
        <w:t xml:space="preserve">requisito </w:t>
      </w:r>
      <w:r w:rsidR="00FF3EEB" w:rsidRPr="00C4795A">
        <w:rPr>
          <w:rFonts w:ascii="Times New Roman" w:eastAsia="Times New Roman" w:hAnsi="Times New Roman" w:cs="Times New Roman"/>
          <w:kern w:val="0"/>
          <w:sz w:val="24"/>
          <w:szCs w:val="24"/>
          <w:lang w:eastAsia="it-IT"/>
          <w14:ligatures w14:val="none"/>
        </w:rPr>
        <w:lastRenderedPageBreak/>
        <w:t xml:space="preserve">della rilevanza, </w:t>
      </w:r>
      <w:r w:rsidR="00C67023" w:rsidRPr="00C4795A">
        <w:rPr>
          <w:rFonts w:ascii="Times New Roman" w:eastAsia="Times New Roman" w:hAnsi="Times New Roman" w:cs="Times New Roman"/>
          <w:kern w:val="0"/>
          <w:sz w:val="24"/>
          <w:szCs w:val="24"/>
          <w:lang w:eastAsia="it-IT"/>
          <w14:ligatures w14:val="none"/>
        </w:rPr>
        <w:t>suggerendo di intervenire su</w:t>
      </w:r>
      <w:r w:rsidR="008609EF" w:rsidRPr="00C4795A">
        <w:rPr>
          <w:rFonts w:ascii="Times New Roman" w:eastAsia="Times New Roman" w:hAnsi="Times New Roman" w:cs="Times New Roman"/>
          <w:kern w:val="0"/>
          <w:sz w:val="24"/>
          <w:szCs w:val="24"/>
          <w:lang w:eastAsia="it-IT"/>
          <w14:ligatures w14:val="none"/>
        </w:rPr>
        <w:t>ll’art. 23 della legge n. 87 del 1953</w:t>
      </w:r>
      <w:r w:rsidR="0015040A" w:rsidRPr="00C4795A">
        <w:rPr>
          <w:rStyle w:val="Rimandonotaapidipagina"/>
          <w:rFonts w:ascii="Times New Roman" w:eastAsia="Times New Roman" w:hAnsi="Times New Roman" w:cs="Times New Roman"/>
          <w:kern w:val="0"/>
          <w:sz w:val="24"/>
          <w:szCs w:val="24"/>
          <w:lang w:eastAsia="it-IT"/>
          <w14:ligatures w14:val="none"/>
        </w:rPr>
        <w:footnoteReference w:id="75"/>
      </w:r>
      <w:r w:rsidR="00FF3EEB" w:rsidRPr="00C4795A">
        <w:rPr>
          <w:rFonts w:ascii="Times New Roman" w:eastAsia="Times New Roman" w:hAnsi="Times New Roman" w:cs="Times New Roman"/>
          <w:kern w:val="0"/>
          <w:sz w:val="24"/>
          <w:szCs w:val="24"/>
          <w:lang w:eastAsia="it-IT"/>
          <w14:ligatures w14:val="none"/>
        </w:rPr>
        <w:t>.</w:t>
      </w:r>
      <w:r w:rsidR="00891653" w:rsidRPr="00C4795A">
        <w:rPr>
          <w:rFonts w:ascii="Times New Roman" w:eastAsia="Times New Roman" w:hAnsi="Times New Roman" w:cs="Times New Roman"/>
          <w:kern w:val="0"/>
          <w:sz w:val="24"/>
          <w:szCs w:val="24"/>
          <w:lang w:eastAsia="it-IT"/>
          <w14:ligatures w14:val="none"/>
        </w:rPr>
        <w:t xml:space="preserve"> </w:t>
      </w:r>
      <w:r w:rsidR="00731D76" w:rsidRPr="00C4795A">
        <w:rPr>
          <w:rFonts w:ascii="Times New Roman" w:eastAsia="Times New Roman" w:hAnsi="Times New Roman" w:cs="Times New Roman"/>
          <w:kern w:val="0"/>
          <w:sz w:val="24"/>
          <w:szCs w:val="24"/>
          <w:lang w:eastAsia="it-IT"/>
          <w14:ligatures w14:val="none"/>
        </w:rPr>
        <w:t>A un risultato non dissimile da quello – politicamente impervio – che implica la riscrittura della legge 87, s</w:t>
      </w:r>
      <w:r w:rsidR="000C4502" w:rsidRPr="00C4795A">
        <w:rPr>
          <w:rFonts w:ascii="Times New Roman" w:eastAsia="Times New Roman" w:hAnsi="Times New Roman" w:cs="Times New Roman"/>
          <w:kern w:val="0"/>
          <w:sz w:val="24"/>
          <w:szCs w:val="24"/>
          <w:lang w:eastAsia="it-IT"/>
          <w14:ligatures w14:val="none"/>
        </w:rPr>
        <w:t xml:space="preserve">i </w:t>
      </w:r>
      <w:r w:rsidR="00923467" w:rsidRPr="00C4795A">
        <w:rPr>
          <w:rFonts w:ascii="Times New Roman" w:eastAsia="Times New Roman" w:hAnsi="Times New Roman" w:cs="Times New Roman"/>
          <w:kern w:val="0"/>
          <w:sz w:val="24"/>
          <w:szCs w:val="24"/>
          <w:lang w:eastAsia="it-IT"/>
          <w14:ligatures w14:val="none"/>
        </w:rPr>
        <w:t>p</w:t>
      </w:r>
      <w:r w:rsidR="00731D76" w:rsidRPr="00C4795A">
        <w:rPr>
          <w:rFonts w:ascii="Times New Roman" w:eastAsia="Times New Roman" w:hAnsi="Times New Roman" w:cs="Times New Roman"/>
          <w:kern w:val="0"/>
          <w:sz w:val="24"/>
          <w:szCs w:val="24"/>
          <w:lang w:eastAsia="it-IT"/>
          <w14:ligatures w14:val="none"/>
        </w:rPr>
        <w:t xml:space="preserve">otrebbe </w:t>
      </w:r>
      <w:r w:rsidR="00923467" w:rsidRPr="00C4795A">
        <w:rPr>
          <w:rFonts w:ascii="Times New Roman" w:eastAsia="Times New Roman" w:hAnsi="Times New Roman" w:cs="Times New Roman"/>
          <w:kern w:val="0"/>
          <w:sz w:val="24"/>
          <w:szCs w:val="24"/>
          <w:lang w:eastAsia="it-IT"/>
          <w14:ligatures w14:val="none"/>
        </w:rPr>
        <w:t>giungere</w:t>
      </w:r>
      <w:r w:rsidR="00C67023" w:rsidRPr="00C4795A">
        <w:rPr>
          <w:rFonts w:ascii="Times New Roman" w:eastAsia="Times New Roman" w:hAnsi="Times New Roman" w:cs="Times New Roman"/>
          <w:kern w:val="0"/>
          <w:sz w:val="24"/>
          <w:szCs w:val="24"/>
          <w:lang w:eastAsia="it-IT"/>
          <w14:ligatures w14:val="none"/>
        </w:rPr>
        <w:t>,</w:t>
      </w:r>
      <w:r w:rsidR="00731D76" w:rsidRPr="00C4795A">
        <w:rPr>
          <w:rFonts w:ascii="Times New Roman" w:eastAsia="Times New Roman" w:hAnsi="Times New Roman" w:cs="Times New Roman"/>
          <w:kern w:val="0"/>
          <w:sz w:val="24"/>
          <w:szCs w:val="24"/>
          <w:lang w:eastAsia="it-IT"/>
          <w14:ligatures w14:val="none"/>
        </w:rPr>
        <w:t xml:space="preserve"> </w:t>
      </w:r>
      <w:r w:rsidR="0031470B" w:rsidRPr="00C4795A">
        <w:rPr>
          <w:rFonts w:ascii="Times New Roman" w:eastAsia="Times New Roman" w:hAnsi="Times New Roman" w:cs="Times New Roman"/>
          <w:kern w:val="0"/>
          <w:sz w:val="24"/>
          <w:szCs w:val="24"/>
          <w:lang w:eastAsia="it-IT"/>
          <w14:ligatures w14:val="none"/>
        </w:rPr>
        <w:t xml:space="preserve">con </w:t>
      </w:r>
      <w:r w:rsidR="00731D76" w:rsidRPr="00C4795A">
        <w:rPr>
          <w:rFonts w:ascii="Times New Roman" w:eastAsia="Times New Roman" w:hAnsi="Times New Roman" w:cs="Times New Roman"/>
          <w:kern w:val="0"/>
          <w:sz w:val="24"/>
          <w:szCs w:val="24"/>
          <w:lang w:eastAsia="it-IT"/>
          <w14:ligatures w14:val="none"/>
        </w:rPr>
        <w:t xml:space="preserve">uno </w:t>
      </w:r>
      <w:r w:rsidR="0031470B" w:rsidRPr="00C4795A">
        <w:rPr>
          <w:rFonts w:ascii="Times New Roman" w:eastAsia="Times New Roman" w:hAnsi="Times New Roman" w:cs="Times New Roman"/>
          <w:kern w:val="0"/>
          <w:sz w:val="24"/>
          <w:szCs w:val="24"/>
          <w:lang w:eastAsia="it-IT"/>
          <w14:ligatures w14:val="none"/>
        </w:rPr>
        <w:t>sforzo creativo</w:t>
      </w:r>
      <w:r w:rsidR="00C67023" w:rsidRPr="00C4795A">
        <w:rPr>
          <w:rFonts w:ascii="Times New Roman" w:eastAsia="Times New Roman" w:hAnsi="Times New Roman" w:cs="Times New Roman"/>
          <w:kern w:val="0"/>
          <w:sz w:val="24"/>
          <w:szCs w:val="24"/>
          <w:lang w:eastAsia="it-IT"/>
          <w14:ligatures w14:val="none"/>
        </w:rPr>
        <w:t>,</w:t>
      </w:r>
      <w:r w:rsidR="00A63A26" w:rsidRPr="00C4795A">
        <w:rPr>
          <w:rFonts w:ascii="Times New Roman" w:eastAsia="Times New Roman" w:hAnsi="Times New Roman" w:cs="Times New Roman"/>
          <w:kern w:val="0"/>
          <w:sz w:val="24"/>
          <w:szCs w:val="24"/>
          <w:lang w:eastAsia="it-IT"/>
          <w14:ligatures w14:val="none"/>
        </w:rPr>
        <w:t xml:space="preserve"> anche</w:t>
      </w:r>
      <w:r w:rsidR="00731D76" w:rsidRPr="00C4795A">
        <w:rPr>
          <w:rFonts w:ascii="Times New Roman" w:eastAsia="Times New Roman" w:hAnsi="Times New Roman" w:cs="Times New Roman"/>
          <w:kern w:val="0"/>
          <w:sz w:val="24"/>
          <w:szCs w:val="24"/>
          <w:lang w:eastAsia="it-IT"/>
          <w14:ligatures w14:val="none"/>
        </w:rPr>
        <w:t xml:space="preserve"> </w:t>
      </w:r>
      <w:r w:rsidR="00457094" w:rsidRPr="00C4795A">
        <w:rPr>
          <w:rFonts w:ascii="Times New Roman" w:eastAsia="Times New Roman" w:hAnsi="Times New Roman" w:cs="Times New Roman"/>
          <w:kern w:val="0"/>
          <w:sz w:val="24"/>
          <w:szCs w:val="24"/>
          <w:lang w:eastAsia="it-IT"/>
          <w14:ligatures w14:val="none"/>
        </w:rPr>
        <w:t>ad</w:t>
      </w:r>
      <w:r w:rsidR="00E13D64" w:rsidRPr="00C4795A">
        <w:rPr>
          <w:rFonts w:ascii="Times New Roman" w:eastAsia="Times New Roman" w:hAnsi="Times New Roman" w:cs="Times New Roman"/>
          <w:kern w:val="0"/>
          <w:sz w:val="24"/>
          <w:szCs w:val="24"/>
          <w:lang w:eastAsia="it-IT"/>
          <w14:ligatures w14:val="none"/>
        </w:rPr>
        <w:t xml:space="preserve">eguando </w:t>
      </w:r>
      <w:r w:rsidR="00923467" w:rsidRPr="00C4795A">
        <w:rPr>
          <w:rFonts w:ascii="Times New Roman" w:eastAsia="Times New Roman" w:hAnsi="Times New Roman" w:cs="Times New Roman"/>
          <w:kern w:val="0"/>
          <w:sz w:val="24"/>
          <w:szCs w:val="24"/>
          <w:lang w:eastAsia="it-IT"/>
          <w14:ligatures w14:val="none"/>
        </w:rPr>
        <w:t>la</w:t>
      </w:r>
      <w:r w:rsidR="00192820" w:rsidRPr="00C4795A">
        <w:rPr>
          <w:rFonts w:ascii="Times New Roman" w:eastAsia="Times New Roman" w:hAnsi="Times New Roman" w:cs="Times New Roman"/>
          <w:kern w:val="0"/>
          <w:sz w:val="24"/>
          <w:szCs w:val="24"/>
          <w:lang w:eastAsia="it-IT"/>
          <w14:ligatures w14:val="none"/>
        </w:rPr>
        <w:t xml:space="preserve"> nozione di</w:t>
      </w:r>
      <w:r w:rsidR="00434A7A" w:rsidRPr="00C4795A">
        <w:rPr>
          <w:rFonts w:ascii="Times New Roman" w:eastAsia="Times New Roman" w:hAnsi="Times New Roman" w:cs="Times New Roman"/>
          <w:kern w:val="0"/>
          <w:sz w:val="24"/>
          <w:szCs w:val="24"/>
          <w:lang w:eastAsia="it-IT"/>
          <w14:ligatures w14:val="none"/>
        </w:rPr>
        <w:t xml:space="preserve"> incidentalità</w:t>
      </w:r>
      <w:r w:rsidR="00E13D64" w:rsidRPr="00C4795A">
        <w:rPr>
          <w:rFonts w:ascii="Times New Roman" w:eastAsia="Times New Roman" w:hAnsi="Times New Roman" w:cs="Times New Roman"/>
          <w:kern w:val="0"/>
          <w:sz w:val="24"/>
          <w:szCs w:val="24"/>
          <w:lang w:eastAsia="it-IT"/>
          <w14:ligatures w14:val="none"/>
        </w:rPr>
        <w:t xml:space="preserve">, in alcuni casi-limite, </w:t>
      </w:r>
      <w:r w:rsidR="00192820" w:rsidRPr="00C4795A">
        <w:rPr>
          <w:rFonts w:ascii="Times New Roman" w:eastAsia="Times New Roman" w:hAnsi="Times New Roman" w:cs="Times New Roman"/>
          <w:kern w:val="0"/>
          <w:sz w:val="24"/>
          <w:szCs w:val="24"/>
          <w:lang w:eastAsia="it-IT"/>
          <w14:ligatures w14:val="none"/>
        </w:rPr>
        <w:t>a un giudizio costituzionale che ha mutato i</w:t>
      </w:r>
      <w:r w:rsidR="008905B5" w:rsidRPr="00C4795A">
        <w:rPr>
          <w:rFonts w:ascii="Times New Roman" w:eastAsia="Times New Roman" w:hAnsi="Times New Roman" w:cs="Times New Roman"/>
          <w:kern w:val="0"/>
          <w:sz w:val="24"/>
          <w:szCs w:val="24"/>
          <w:lang w:eastAsia="it-IT"/>
          <w14:ligatures w14:val="none"/>
        </w:rPr>
        <w:t xml:space="preserve"> suoi</w:t>
      </w:r>
      <w:r w:rsidR="00192820" w:rsidRPr="00C4795A">
        <w:rPr>
          <w:rFonts w:ascii="Times New Roman" w:eastAsia="Times New Roman" w:hAnsi="Times New Roman" w:cs="Times New Roman"/>
          <w:kern w:val="0"/>
          <w:sz w:val="24"/>
          <w:szCs w:val="24"/>
          <w:lang w:eastAsia="it-IT"/>
          <w14:ligatures w14:val="none"/>
        </w:rPr>
        <w:t xml:space="preserve"> originari connotati per effetto della ormai piena integrazione nel sistema multilivello di protezione dei diritti fondamentali</w:t>
      </w:r>
      <w:r w:rsidR="0023473B" w:rsidRPr="00C4795A">
        <w:rPr>
          <w:rFonts w:ascii="Times New Roman" w:eastAsia="Times New Roman" w:hAnsi="Times New Roman" w:cs="Times New Roman"/>
          <w:kern w:val="0"/>
          <w:sz w:val="24"/>
          <w:szCs w:val="24"/>
          <w:lang w:eastAsia="it-IT"/>
          <w14:ligatures w14:val="none"/>
        </w:rPr>
        <w:t>.</w:t>
      </w:r>
      <w:r w:rsidR="00192820" w:rsidRPr="00C4795A">
        <w:rPr>
          <w:rFonts w:ascii="Times New Roman" w:eastAsia="Times New Roman" w:hAnsi="Times New Roman" w:cs="Times New Roman"/>
          <w:kern w:val="0"/>
          <w:sz w:val="24"/>
          <w:szCs w:val="24"/>
          <w:lang w:eastAsia="it-IT"/>
          <w14:ligatures w14:val="none"/>
        </w:rPr>
        <w:t xml:space="preserve"> </w:t>
      </w:r>
      <w:r w:rsidR="00E13D64" w:rsidRPr="00C4795A">
        <w:rPr>
          <w:rFonts w:ascii="Times New Roman" w:eastAsia="Times New Roman" w:hAnsi="Times New Roman" w:cs="Times New Roman"/>
          <w:kern w:val="0"/>
          <w:sz w:val="24"/>
          <w:szCs w:val="24"/>
          <w:lang w:eastAsia="it-IT"/>
          <w14:ligatures w14:val="none"/>
        </w:rPr>
        <w:t xml:space="preserve">Faccio un passo indietro per meglio sviluppare </w:t>
      </w:r>
      <w:r w:rsidR="0015040A" w:rsidRPr="00C4795A">
        <w:rPr>
          <w:rFonts w:ascii="Times New Roman" w:eastAsia="Times New Roman" w:hAnsi="Times New Roman" w:cs="Times New Roman"/>
          <w:kern w:val="0"/>
          <w:sz w:val="24"/>
          <w:szCs w:val="24"/>
          <w:lang w:eastAsia="it-IT"/>
          <w14:ligatures w14:val="none"/>
        </w:rPr>
        <w:t xml:space="preserve">questa linea di </w:t>
      </w:r>
      <w:r w:rsidR="00C03600" w:rsidRPr="00C4795A">
        <w:rPr>
          <w:rFonts w:ascii="Times New Roman" w:eastAsia="Times New Roman" w:hAnsi="Times New Roman" w:cs="Times New Roman"/>
          <w:kern w:val="0"/>
          <w:sz w:val="24"/>
          <w:szCs w:val="24"/>
          <w:lang w:eastAsia="it-IT"/>
          <w14:ligatures w14:val="none"/>
        </w:rPr>
        <w:t>ragionamento</w:t>
      </w:r>
      <w:r w:rsidR="000072CA" w:rsidRPr="00C4795A">
        <w:rPr>
          <w:rFonts w:ascii="Times New Roman" w:eastAsia="Times New Roman" w:hAnsi="Times New Roman" w:cs="Times New Roman"/>
          <w:kern w:val="0"/>
          <w:sz w:val="24"/>
          <w:szCs w:val="24"/>
          <w:lang w:eastAsia="it-IT"/>
          <w14:ligatures w14:val="none"/>
        </w:rPr>
        <w:t>.</w:t>
      </w:r>
    </w:p>
    <w:p w14:paraId="5208BC76" w14:textId="60F564C0" w:rsidR="0017267B" w:rsidRPr="00C4795A" w:rsidRDefault="003B46B2" w:rsidP="00FF3EEB">
      <w:pPr>
        <w:spacing w:after="0"/>
        <w:jc w:val="both"/>
        <w:rPr>
          <w:rFonts w:ascii="Times New Roman" w:eastAsia="Times New Roman" w:hAnsi="Times New Roman" w:cs="Times New Roman"/>
          <w:kern w:val="0"/>
          <w:sz w:val="24"/>
          <w:szCs w:val="24"/>
          <w:lang w:eastAsia="it-IT"/>
          <w14:ligatures w14:val="none"/>
        </w:rPr>
      </w:pPr>
      <w:r w:rsidRPr="00C4795A">
        <w:rPr>
          <w:rFonts w:ascii="Times New Roman" w:eastAsia="Times New Roman" w:hAnsi="Times New Roman" w:cs="Times New Roman"/>
          <w:kern w:val="0"/>
          <w:sz w:val="24"/>
          <w:szCs w:val="24"/>
          <w:lang w:eastAsia="it-IT"/>
          <w14:ligatures w14:val="none"/>
        </w:rPr>
        <w:t xml:space="preserve">È ancora piuttosto diffusa </w:t>
      </w:r>
      <w:r w:rsidR="00192820" w:rsidRPr="00C4795A">
        <w:rPr>
          <w:rFonts w:ascii="Times New Roman" w:hAnsi="Times New Roman" w:cs="Times New Roman"/>
          <w:sz w:val="24"/>
          <w:szCs w:val="24"/>
        </w:rPr>
        <w:t xml:space="preserve">quella concezione, </w:t>
      </w:r>
      <w:r w:rsidR="00192820" w:rsidRPr="00C4795A">
        <w:rPr>
          <w:rFonts w:ascii="Times New Roman" w:eastAsia="Scotch" w:hAnsi="Times New Roman" w:cs="Times New Roman"/>
          <w:sz w:val="24"/>
          <w:szCs w:val="24"/>
        </w:rPr>
        <w:t xml:space="preserve">di diretta derivazione </w:t>
      </w:r>
      <w:proofErr w:type="spellStart"/>
      <w:r w:rsidR="00192820" w:rsidRPr="00C4795A">
        <w:rPr>
          <w:rFonts w:ascii="Times New Roman" w:eastAsia="Scotch" w:hAnsi="Times New Roman" w:cs="Times New Roman"/>
          <w:sz w:val="24"/>
          <w:szCs w:val="24"/>
        </w:rPr>
        <w:t>kelseniana</w:t>
      </w:r>
      <w:proofErr w:type="spellEnd"/>
      <w:r w:rsidR="00192820" w:rsidRPr="00C4795A">
        <w:rPr>
          <w:rFonts w:ascii="Times New Roman" w:eastAsia="Scotch" w:hAnsi="Times New Roman" w:cs="Times New Roman"/>
          <w:sz w:val="24"/>
          <w:szCs w:val="24"/>
        </w:rPr>
        <w:t>, secondo la quale il sindacato di costituzionalità sarebbe primariamente diretto alla tutela oggettiva della legalità costituzionale</w:t>
      </w:r>
      <w:r w:rsidR="00192820" w:rsidRPr="00C4795A">
        <w:rPr>
          <w:rStyle w:val="Rimandonotaapidipagina"/>
          <w:rFonts w:ascii="Times New Roman" w:eastAsia="Scotch" w:hAnsi="Times New Roman" w:cs="Times New Roman"/>
          <w:sz w:val="24"/>
          <w:szCs w:val="24"/>
        </w:rPr>
        <w:footnoteReference w:id="76"/>
      </w:r>
      <w:r w:rsidR="00192820" w:rsidRPr="00C4795A">
        <w:rPr>
          <w:rFonts w:ascii="Times New Roman" w:eastAsia="Scotch" w:hAnsi="Times New Roman" w:cs="Times New Roman"/>
          <w:sz w:val="24"/>
          <w:szCs w:val="24"/>
        </w:rPr>
        <w:t xml:space="preserve"> e solo indirettamente strumentale alla protezione dei diritti delle parti del giudizio </w:t>
      </w:r>
      <w:r w:rsidR="00192820" w:rsidRPr="00C4795A">
        <w:rPr>
          <w:rFonts w:ascii="Times New Roman" w:eastAsia="Scotch" w:hAnsi="Times New Roman" w:cs="Times New Roman"/>
          <w:i/>
          <w:iCs/>
          <w:sz w:val="24"/>
          <w:szCs w:val="24"/>
        </w:rPr>
        <w:t>a quo</w:t>
      </w:r>
      <w:r w:rsidR="00192820" w:rsidRPr="00C4795A">
        <w:rPr>
          <w:rFonts w:ascii="Times New Roman" w:eastAsia="Scotch" w:hAnsi="Times New Roman" w:cs="Times New Roman"/>
          <w:sz w:val="24"/>
          <w:szCs w:val="24"/>
        </w:rPr>
        <w:t>, al punto da poterne imporre in taluni casi il temporaneo sacrificio nell’interesse astratto della legalità ordinamentale.</w:t>
      </w:r>
      <w:r w:rsidR="00C40D01" w:rsidRPr="00C4795A">
        <w:t xml:space="preserve"> </w:t>
      </w:r>
    </w:p>
    <w:p w14:paraId="447333FD" w14:textId="6A919B8A" w:rsidR="00192820" w:rsidRPr="00C4795A" w:rsidRDefault="00192820" w:rsidP="00FF3EEB">
      <w:pPr>
        <w:spacing w:after="0"/>
        <w:jc w:val="both"/>
        <w:rPr>
          <w:rFonts w:ascii="Times New Roman" w:eastAsia="Times New Roman" w:hAnsi="Times New Roman" w:cs="Times New Roman"/>
          <w:kern w:val="0"/>
          <w:sz w:val="24"/>
          <w:szCs w:val="24"/>
          <w:lang w:eastAsia="it-IT"/>
          <w14:ligatures w14:val="none"/>
        </w:rPr>
      </w:pPr>
      <w:r w:rsidRPr="00C4795A">
        <w:rPr>
          <w:rFonts w:ascii="Times New Roman" w:eastAsia="Times New Roman" w:hAnsi="Times New Roman" w:cs="Times New Roman"/>
          <w:kern w:val="0"/>
          <w:sz w:val="24"/>
          <w:szCs w:val="24"/>
          <w:lang w:eastAsia="it-IT"/>
          <w14:ligatures w14:val="none"/>
        </w:rPr>
        <w:t xml:space="preserve">In un saggio </w:t>
      </w:r>
      <w:r w:rsidR="00B8442D" w:rsidRPr="00C4795A">
        <w:rPr>
          <w:rFonts w:ascii="Times New Roman" w:eastAsia="Times New Roman" w:hAnsi="Times New Roman" w:cs="Times New Roman"/>
          <w:kern w:val="0"/>
          <w:sz w:val="24"/>
          <w:szCs w:val="24"/>
          <w:lang w:eastAsia="it-IT"/>
          <w14:ligatures w14:val="none"/>
        </w:rPr>
        <w:t xml:space="preserve">pubblicato su </w:t>
      </w:r>
      <w:r w:rsidR="00B8442D" w:rsidRPr="00C4795A">
        <w:rPr>
          <w:rFonts w:ascii="Times New Roman" w:eastAsia="Times New Roman" w:hAnsi="Times New Roman" w:cs="Times New Roman"/>
          <w:i/>
          <w:iCs/>
          <w:kern w:val="0"/>
          <w:sz w:val="24"/>
          <w:szCs w:val="24"/>
          <w:lang w:eastAsia="it-IT"/>
          <w14:ligatures w14:val="none"/>
        </w:rPr>
        <w:t>Giurisprudenza costituzionale</w:t>
      </w:r>
      <w:r w:rsidR="00B8442D" w:rsidRPr="00C4795A">
        <w:rPr>
          <w:rFonts w:ascii="Times New Roman" w:eastAsia="Times New Roman" w:hAnsi="Times New Roman" w:cs="Times New Roman"/>
          <w:kern w:val="0"/>
          <w:sz w:val="24"/>
          <w:szCs w:val="24"/>
          <w:lang w:eastAsia="it-IT"/>
          <w14:ligatures w14:val="none"/>
        </w:rPr>
        <w:t xml:space="preserve"> ne</w:t>
      </w:r>
      <w:r w:rsidRPr="00C4795A">
        <w:rPr>
          <w:rFonts w:ascii="Times New Roman" w:eastAsia="Times New Roman" w:hAnsi="Times New Roman" w:cs="Times New Roman"/>
          <w:kern w:val="0"/>
          <w:sz w:val="24"/>
          <w:szCs w:val="24"/>
          <w:lang w:eastAsia="it-IT"/>
          <w14:ligatures w14:val="none"/>
        </w:rPr>
        <w:t xml:space="preserve">l 2020, rinvenivo </w:t>
      </w:r>
      <w:r w:rsidRPr="00C4795A">
        <w:rPr>
          <w:rFonts w:ascii="Times New Roman" w:eastAsia="Scotch" w:hAnsi="Times New Roman" w:cs="Times New Roman"/>
          <w:sz w:val="24"/>
          <w:szCs w:val="24"/>
        </w:rPr>
        <w:t xml:space="preserve">il segno più evidente del perdurare di questa impostazione teorica nelle questioni </w:t>
      </w:r>
      <w:r w:rsidRPr="00C4795A">
        <w:rPr>
          <w:rFonts w:ascii="Times New Roman" w:hAnsi="Times New Roman" w:cs="Times New Roman"/>
          <w:sz w:val="24"/>
          <w:szCs w:val="24"/>
        </w:rPr>
        <w:t>concernenti norme penali di favore</w:t>
      </w:r>
      <w:r w:rsidR="00C40D01" w:rsidRPr="00C4795A">
        <w:rPr>
          <w:rStyle w:val="Rimandonotaapidipagina"/>
          <w:rFonts w:ascii="Times New Roman" w:hAnsi="Times New Roman" w:cs="Times New Roman"/>
          <w:sz w:val="24"/>
          <w:szCs w:val="24"/>
        </w:rPr>
        <w:footnoteReference w:id="77"/>
      </w:r>
      <w:r w:rsidRPr="00C4795A">
        <w:rPr>
          <w:rFonts w:ascii="Times New Roman" w:hAnsi="Times New Roman" w:cs="Times New Roman"/>
          <w:sz w:val="24"/>
          <w:szCs w:val="24"/>
        </w:rPr>
        <w:t xml:space="preserve">. </w:t>
      </w:r>
      <w:r w:rsidRPr="00C4795A">
        <w:rPr>
          <w:rFonts w:ascii="Times New Roman" w:eastAsia="Scotch" w:hAnsi="Times New Roman" w:cs="Times New Roman"/>
          <w:sz w:val="24"/>
          <w:szCs w:val="24"/>
        </w:rPr>
        <w:t>Osservavo</w:t>
      </w:r>
      <w:r w:rsidR="00C67023"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allora</w:t>
      </w:r>
      <w:r w:rsidR="00C67023"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che all’imputato o condannato che </w:t>
      </w:r>
      <w:r w:rsidR="00065FF1" w:rsidRPr="00C4795A">
        <w:rPr>
          <w:rFonts w:ascii="Times New Roman" w:eastAsia="Scotch" w:hAnsi="Times New Roman" w:cs="Times New Roman"/>
          <w:sz w:val="24"/>
          <w:szCs w:val="24"/>
        </w:rPr>
        <w:t xml:space="preserve">reclama </w:t>
      </w:r>
      <w:r w:rsidR="0023473B" w:rsidRPr="00C4795A">
        <w:rPr>
          <w:rFonts w:ascii="Times New Roman" w:eastAsia="Scotch" w:hAnsi="Times New Roman" w:cs="Times New Roman"/>
          <w:sz w:val="24"/>
          <w:szCs w:val="24"/>
        </w:rPr>
        <w:t>(</w:t>
      </w:r>
      <w:r w:rsidR="00065FF1" w:rsidRPr="00C4795A">
        <w:rPr>
          <w:rFonts w:ascii="Times New Roman" w:eastAsia="Scotch" w:hAnsi="Times New Roman" w:cs="Times New Roman"/>
          <w:sz w:val="24"/>
          <w:szCs w:val="24"/>
        </w:rPr>
        <w:t xml:space="preserve">e </w:t>
      </w:r>
      <w:r w:rsidRPr="00C4795A">
        <w:rPr>
          <w:rFonts w:ascii="Times New Roman" w:eastAsia="Scotch" w:hAnsi="Times New Roman" w:cs="Times New Roman"/>
          <w:sz w:val="24"/>
          <w:szCs w:val="24"/>
        </w:rPr>
        <w:t>implora</w:t>
      </w:r>
      <w:r w:rsidR="0023473B"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di applicargli immediatamente una norma penale favorevole che lo liberi dal patimento del processo o </w:t>
      </w:r>
      <w:r w:rsidR="00065FF1" w:rsidRPr="00C4795A">
        <w:rPr>
          <w:rFonts w:ascii="Times New Roman" w:eastAsia="Scotch" w:hAnsi="Times New Roman" w:cs="Times New Roman"/>
          <w:sz w:val="24"/>
          <w:szCs w:val="24"/>
        </w:rPr>
        <w:t xml:space="preserve">comunque </w:t>
      </w:r>
      <w:r w:rsidRPr="00C4795A">
        <w:rPr>
          <w:rFonts w:ascii="Times New Roman" w:eastAsia="Scotch" w:hAnsi="Times New Roman" w:cs="Times New Roman"/>
          <w:sz w:val="24"/>
          <w:szCs w:val="24"/>
        </w:rPr>
        <w:t>mitighi le misure afflittive disposte nei suoi confronti</w:t>
      </w:r>
      <w:r w:rsidR="0023473B"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si impone di attendere i tempi non sempre brevi della trasmissione dell’ordinanza di rinvio</w:t>
      </w:r>
      <w:r w:rsidRPr="00C4795A">
        <w:rPr>
          <w:rStyle w:val="Rimandonotaapidipagina"/>
          <w:rFonts w:ascii="Times New Roman" w:eastAsia="Scotch" w:hAnsi="Times New Roman" w:cs="Times New Roman"/>
          <w:sz w:val="24"/>
          <w:szCs w:val="24"/>
        </w:rPr>
        <w:footnoteReference w:id="78"/>
      </w:r>
      <w:r w:rsidRPr="00C4795A">
        <w:rPr>
          <w:rFonts w:ascii="Times New Roman" w:eastAsia="Scotch" w:hAnsi="Times New Roman" w:cs="Times New Roman"/>
          <w:sz w:val="24"/>
          <w:szCs w:val="24"/>
        </w:rPr>
        <w:t> e</w:t>
      </w:r>
      <w:r w:rsidR="00FF3EEB" w:rsidRPr="00C4795A">
        <w:rPr>
          <w:rFonts w:ascii="Times New Roman" w:eastAsia="Scotch" w:hAnsi="Times New Roman" w:cs="Times New Roman"/>
          <w:sz w:val="24"/>
          <w:szCs w:val="24"/>
        </w:rPr>
        <w:t xml:space="preserve"> </w:t>
      </w:r>
      <w:r w:rsidRPr="00C4795A">
        <w:rPr>
          <w:rFonts w:ascii="Times New Roman" w:eastAsia="Scotch" w:hAnsi="Times New Roman" w:cs="Times New Roman"/>
          <w:sz w:val="24"/>
          <w:szCs w:val="24"/>
        </w:rPr>
        <w:t xml:space="preserve">della definizione della </w:t>
      </w:r>
      <w:r w:rsidRPr="00C4795A">
        <w:rPr>
          <w:rFonts w:ascii="Times New Roman" w:eastAsia="Scotch" w:hAnsi="Times New Roman" w:cs="Times New Roman"/>
          <w:i/>
          <w:iCs/>
          <w:sz w:val="24"/>
          <w:szCs w:val="24"/>
        </w:rPr>
        <w:t xml:space="preserve">quaestio </w:t>
      </w:r>
      <w:proofErr w:type="spellStart"/>
      <w:r w:rsidRPr="00C4795A">
        <w:rPr>
          <w:rFonts w:ascii="Times New Roman" w:eastAsia="Scotch" w:hAnsi="Times New Roman" w:cs="Times New Roman"/>
          <w:i/>
          <w:iCs/>
          <w:sz w:val="24"/>
          <w:szCs w:val="24"/>
        </w:rPr>
        <w:t>legitimitatis</w:t>
      </w:r>
      <w:proofErr w:type="spellEnd"/>
      <w:r w:rsidRPr="00C4795A">
        <w:rPr>
          <w:rFonts w:ascii="Times New Roman" w:eastAsia="Scotch" w:hAnsi="Times New Roman" w:cs="Times New Roman"/>
          <w:sz w:val="24"/>
          <w:szCs w:val="24"/>
        </w:rPr>
        <w:t xml:space="preserve"> per </w:t>
      </w:r>
      <w:r w:rsidR="00065FF1" w:rsidRPr="00C4795A">
        <w:rPr>
          <w:rFonts w:ascii="Times New Roman" w:eastAsia="Scotch" w:hAnsi="Times New Roman" w:cs="Times New Roman"/>
          <w:sz w:val="24"/>
          <w:szCs w:val="24"/>
        </w:rPr>
        <w:t xml:space="preserve">ottenere </w:t>
      </w:r>
      <w:r w:rsidRPr="00C4795A">
        <w:rPr>
          <w:rFonts w:ascii="Times New Roman" w:eastAsia="Scotch" w:hAnsi="Times New Roman" w:cs="Times New Roman"/>
          <w:sz w:val="24"/>
          <w:szCs w:val="24"/>
        </w:rPr>
        <w:t xml:space="preserve">– </w:t>
      </w:r>
      <w:r w:rsidR="00C03600" w:rsidRPr="00C4795A">
        <w:rPr>
          <w:rFonts w:ascii="Times New Roman" w:eastAsia="Scotch" w:hAnsi="Times New Roman" w:cs="Times New Roman"/>
          <w:sz w:val="24"/>
          <w:szCs w:val="24"/>
        </w:rPr>
        <w:t xml:space="preserve">mesi e talora anni </w:t>
      </w:r>
      <w:r w:rsidRPr="00C4795A">
        <w:rPr>
          <w:rFonts w:ascii="Times New Roman" w:eastAsia="Scotch" w:hAnsi="Times New Roman" w:cs="Times New Roman"/>
          <w:sz w:val="24"/>
          <w:szCs w:val="24"/>
        </w:rPr>
        <w:t xml:space="preserve">dopo – </w:t>
      </w:r>
      <w:r w:rsidR="00065FF1" w:rsidRPr="00C4795A">
        <w:rPr>
          <w:rFonts w:ascii="Times New Roman" w:eastAsia="Scotch" w:hAnsi="Times New Roman" w:cs="Times New Roman"/>
          <w:sz w:val="24"/>
          <w:szCs w:val="24"/>
        </w:rPr>
        <w:t xml:space="preserve">un </w:t>
      </w:r>
      <w:r w:rsidRPr="00C4795A">
        <w:rPr>
          <w:rFonts w:ascii="Times New Roman" w:eastAsia="Scotch" w:hAnsi="Times New Roman" w:cs="Times New Roman"/>
          <w:sz w:val="24"/>
          <w:szCs w:val="24"/>
        </w:rPr>
        <w:t>risultato sostanzialmente identico</w:t>
      </w:r>
      <w:r w:rsidR="00065FF1" w:rsidRPr="00C4795A">
        <w:rPr>
          <w:rFonts w:ascii="Times New Roman" w:eastAsia="Scotch" w:hAnsi="Times New Roman" w:cs="Times New Roman"/>
          <w:sz w:val="24"/>
          <w:szCs w:val="24"/>
        </w:rPr>
        <w:t xml:space="preserve"> a quello di cui poteva disporre con immediatezza</w:t>
      </w:r>
      <w:r w:rsidRPr="00C4795A">
        <w:rPr>
          <w:rFonts w:ascii="Times New Roman" w:eastAsia="Scotch" w:hAnsi="Times New Roman" w:cs="Times New Roman"/>
          <w:sz w:val="24"/>
          <w:szCs w:val="24"/>
        </w:rPr>
        <w:t>. Sia l’accoglimento, sia il rigetto della questione incidono</w:t>
      </w:r>
      <w:r w:rsidR="00B8442D"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difatti</w:t>
      </w:r>
      <w:r w:rsidR="00B8442D"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sulla motivazione della sentenza, ma non sugli effetti concreti e sostanziali del provvedimento. In questi casi, dunque, l’interesse astratto a non sottrarre allo scrutinio costituzionale le norme penali favorevoli – il cui pregio è innegabile – sacrifica </w:t>
      </w:r>
      <w:r w:rsidR="00D76D8E" w:rsidRPr="00C4795A">
        <w:rPr>
          <w:rFonts w:ascii="Times New Roman" w:eastAsia="Scotch" w:hAnsi="Times New Roman" w:cs="Times New Roman"/>
          <w:sz w:val="24"/>
          <w:szCs w:val="24"/>
        </w:rPr>
        <w:t>tuttavia</w:t>
      </w:r>
      <w:r w:rsidR="00B8442D" w:rsidRPr="00C4795A">
        <w:rPr>
          <w:rFonts w:ascii="Times New Roman" w:eastAsia="Scotch" w:hAnsi="Times New Roman" w:cs="Times New Roman"/>
          <w:sz w:val="24"/>
          <w:szCs w:val="24"/>
        </w:rPr>
        <w:t>,</w:t>
      </w:r>
      <w:r w:rsidR="00D76D8E" w:rsidRPr="00C4795A">
        <w:rPr>
          <w:rFonts w:ascii="Times New Roman" w:eastAsia="Scotch" w:hAnsi="Times New Roman" w:cs="Times New Roman"/>
          <w:sz w:val="24"/>
          <w:szCs w:val="24"/>
        </w:rPr>
        <w:t xml:space="preserve"> </w:t>
      </w:r>
      <w:r w:rsidR="00C67023" w:rsidRPr="00C4795A">
        <w:rPr>
          <w:rFonts w:ascii="Times New Roman" w:eastAsia="Scotch" w:hAnsi="Times New Roman" w:cs="Times New Roman"/>
          <w:sz w:val="24"/>
          <w:szCs w:val="24"/>
        </w:rPr>
        <w:t xml:space="preserve">e </w:t>
      </w:r>
      <w:r w:rsidRPr="00C4795A">
        <w:rPr>
          <w:rFonts w:ascii="Times New Roman" w:eastAsia="Scotch" w:hAnsi="Times New Roman" w:cs="Times New Roman"/>
          <w:sz w:val="24"/>
          <w:szCs w:val="24"/>
        </w:rPr>
        <w:t>in modo non sempre lieve</w:t>
      </w:r>
      <w:r w:rsidR="00B8442D"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l’interesse della parte privata a ‘uscire dal </w:t>
      </w:r>
      <w:proofErr w:type="spellStart"/>
      <w:r w:rsidRPr="00C4795A">
        <w:rPr>
          <w:rFonts w:ascii="Times New Roman" w:eastAsia="Scotch" w:hAnsi="Times New Roman" w:cs="Times New Roman"/>
          <w:sz w:val="24"/>
          <w:szCs w:val="24"/>
        </w:rPr>
        <w:t>processo’</w:t>
      </w:r>
      <w:proofErr w:type="spellEnd"/>
      <w:r w:rsidRPr="00C4795A">
        <w:rPr>
          <w:rFonts w:ascii="Times New Roman" w:eastAsia="Scotch" w:hAnsi="Times New Roman" w:cs="Times New Roman"/>
          <w:sz w:val="24"/>
          <w:szCs w:val="24"/>
        </w:rPr>
        <w:t xml:space="preserve"> immediatamente, senza </w:t>
      </w:r>
      <w:r w:rsidR="00D76D8E" w:rsidRPr="00C4795A">
        <w:rPr>
          <w:rFonts w:ascii="Times New Roman" w:eastAsia="Scotch" w:hAnsi="Times New Roman" w:cs="Times New Roman"/>
          <w:sz w:val="24"/>
          <w:szCs w:val="24"/>
        </w:rPr>
        <w:t xml:space="preserve">alcun </w:t>
      </w:r>
      <w:r w:rsidRPr="00C4795A">
        <w:rPr>
          <w:rFonts w:ascii="Times New Roman" w:eastAsia="Scotch" w:hAnsi="Times New Roman" w:cs="Times New Roman"/>
          <w:sz w:val="24"/>
          <w:szCs w:val="24"/>
        </w:rPr>
        <w:t>indugio. Un interesse che Francesco Viganò</w:t>
      </w:r>
      <w:r w:rsidR="0050533A" w:rsidRPr="00C4795A">
        <w:rPr>
          <w:rFonts w:ascii="Times New Roman" w:eastAsia="Scotch" w:hAnsi="Times New Roman" w:cs="Times New Roman"/>
          <w:sz w:val="24"/>
          <w:szCs w:val="24"/>
        </w:rPr>
        <w:t>, in un saggio dedicato al rapporto fra prescrizione e ragionevole durata del processo,</w:t>
      </w:r>
      <w:r w:rsidRPr="00C4795A">
        <w:rPr>
          <w:rFonts w:ascii="Times New Roman" w:eastAsia="Scotch" w:hAnsi="Times New Roman" w:cs="Times New Roman"/>
          <w:sz w:val="24"/>
          <w:szCs w:val="24"/>
        </w:rPr>
        <w:t xml:space="preserve"> ha icasticamente ricondotto al </w:t>
      </w:r>
      <w:r w:rsidR="004858B3"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diritto ad essere lasciati in pace</w:t>
      </w:r>
      <w:r w:rsidR="004858B3" w:rsidRPr="00C4795A">
        <w:rPr>
          <w:rFonts w:ascii="Times New Roman" w:eastAsia="Scotch" w:hAnsi="Times New Roman" w:cs="Times New Roman"/>
          <w:sz w:val="24"/>
          <w:szCs w:val="24"/>
        </w:rPr>
        <w:t>»</w:t>
      </w:r>
      <w:r w:rsidR="0023473B" w:rsidRPr="00C4795A">
        <w:rPr>
          <w:rStyle w:val="Rimandonotaapidipagina"/>
          <w:rFonts w:ascii="Times New Roman" w:eastAsia="Scotch" w:hAnsi="Times New Roman" w:cs="Times New Roman"/>
          <w:sz w:val="24"/>
          <w:szCs w:val="24"/>
        </w:rPr>
        <w:footnoteReference w:id="79"/>
      </w:r>
      <w:r w:rsidR="007411C7" w:rsidRPr="00C4795A">
        <w:rPr>
          <w:rFonts w:ascii="Times New Roman" w:hAnsi="Times New Roman" w:cs="Times New Roman"/>
          <w:sz w:val="24"/>
          <w:szCs w:val="24"/>
        </w:rPr>
        <w:t>.</w:t>
      </w:r>
      <w:r w:rsidRPr="00C4795A">
        <w:rPr>
          <w:rFonts w:ascii="Times New Roman" w:hAnsi="Times New Roman" w:cs="Times New Roman"/>
          <w:sz w:val="24"/>
          <w:szCs w:val="24"/>
        </w:rPr>
        <w:fldChar w:fldCharType="begin"/>
      </w:r>
      <w:r w:rsidRPr="00C4795A">
        <w:rPr>
          <w:rFonts w:ascii="Times New Roman" w:hAnsi="Times New Roman" w:cs="Times New Roman"/>
          <w:sz w:val="24"/>
          <w:szCs w:val="24"/>
        </w:rPr>
        <w:instrText>&lt;/para&gt;</w:instrText>
      </w:r>
      <w:r w:rsidRPr="00C4795A">
        <w:rPr>
          <w:rFonts w:ascii="Times New Roman" w:hAnsi="Times New Roman" w:cs="Times New Roman"/>
          <w:sz w:val="24"/>
          <w:szCs w:val="24"/>
        </w:rPr>
        <w:fldChar w:fldCharType="end"/>
      </w:r>
      <w:r w:rsidRPr="00C4795A">
        <w:rPr>
          <w:rFonts w:ascii="Times New Roman" w:hAnsi="Times New Roman" w:cs="Times New Roman"/>
          <w:sz w:val="24"/>
          <w:szCs w:val="24"/>
        </w:rPr>
        <w:t xml:space="preserve"> </w:t>
      </w:r>
    </w:p>
    <w:p w14:paraId="4B30B463" w14:textId="39D3C7DD" w:rsidR="00246973" w:rsidRPr="00C4795A" w:rsidRDefault="00192820" w:rsidP="00FF3EEB">
      <w:pPr>
        <w:spacing w:after="0"/>
        <w:jc w:val="both"/>
        <w:rPr>
          <w:rFonts w:ascii="Times New Roman" w:eastAsia="Scotch" w:hAnsi="Times New Roman" w:cs="Times New Roman"/>
          <w:sz w:val="24"/>
          <w:szCs w:val="24"/>
        </w:rPr>
      </w:pPr>
      <w:r w:rsidRPr="00C4795A">
        <w:rPr>
          <w:rFonts w:ascii="Times New Roman" w:hAnsi="Times New Roman" w:cs="Times New Roman"/>
          <w:sz w:val="24"/>
          <w:szCs w:val="24"/>
        </w:rPr>
        <w:t xml:space="preserve">Non mi sfuggiva allora e non mi sfugge ora che, ove il giudice </w:t>
      </w:r>
      <w:r w:rsidRPr="00C4795A">
        <w:rPr>
          <w:rFonts w:ascii="Times New Roman" w:eastAsia="Scotch" w:hAnsi="Times New Roman" w:cs="Times New Roman"/>
          <w:sz w:val="24"/>
          <w:szCs w:val="24"/>
        </w:rPr>
        <w:t xml:space="preserve">applicasse la norma di favore, spenderebbe il proprio potere decisorio, </w:t>
      </w:r>
      <w:r w:rsidR="0023473B" w:rsidRPr="00C4795A">
        <w:rPr>
          <w:rFonts w:ascii="Times New Roman" w:eastAsia="Scotch" w:hAnsi="Times New Roman" w:cs="Times New Roman"/>
          <w:sz w:val="24"/>
          <w:szCs w:val="24"/>
        </w:rPr>
        <w:t>così</w:t>
      </w:r>
      <w:r w:rsidRPr="00C4795A">
        <w:rPr>
          <w:rFonts w:ascii="Times New Roman" w:eastAsia="Scotch" w:hAnsi="Times New Roman" w:cs="Times New Roman"/>
          <w:sz w:val="24"/>
          <w:szCs w:val="24"/>
        </w:rPr>
        <w:t xml:space="preserve"> da rendere la questione inammissibile perché ‘tardiva’. E tuttavia</w:t>
      </w:r>
      <w:r w:rsidR="006058B2"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mi spingevo arditamente</w:t>
      </w:r>
      <w:r w:rsidR="00246973"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w:t>
      </w:r>
      <w:r w:rsidR="006058B2" w:rsidRPr="00C4795A">
        <w:rPr>
          <w:rFonts w:ascii="Times New Roman" w:eastAsia="Scotch" w:hAnsi="Times New Roman" w:cs="Times New Roman"/>
          <w:sz w:val="24"/>
          <w:szCs w:val="24"/>
        </w:rPr>
        <w:t>in quello scritto</w:t>
      </w:r>
      <w:r w:rsidR="00246973" w:rsidRPr="00C4795A">
        <w:rPr>
          <w:rFonts w:ascii="Times New Roman" w:eastAsia="Scotch" w:hAnsi="Times New Roman" w:cs="Times New Roman"/>
          <w:sz w:val="24"/>
          <w:szCs w:val="24"/>
        </w:rPr>
        <w:t>,</w:t>
      </w:r>
      <w:r w:rsidR="006058B2" w:rsidRPr="00C4795A">
        <w:rPr>
          <w:rFonts w:ascii="Times New Roman" w:eastAsia="Scotch" w:hAnsi="Times New Roman" w:cs="Times New Roman"/>
          <w:sz w:val="24"/>
          <w:szCs w:val="24"/>
        </w:rPr>
        <w:t xml:space="preserve"> </w:t>
      </w:r>
      <w:r w:rsidRPr="00C4795A">
        <w:rPr>
          <w:rFonts w:ascii="Times New Roman" w:eastAsia="Scotch" w:hAnsi="Times New Roman" w:cs="Times New Roman"/>
          <w:sz w:val="24"/>
          <w:szCs w:val="24"/>
        </w:rPr>
        <w:t xml:space="preserve">a proporre alla Corte costituzionale di introdurre un’eccezione a questa regola, autorizzando il giudice </w:t>
      </w:r>
      <w:r w:rsidRPr="00C4795A">
        <w:rPr>
          <w:rFonts w:ascii="Times New Roman" w:eastAsia="Scotch" w:hAnsi="Times New Roman" w:cs="Times New Roman"/>
          <w:i/>
          <w:sz w:val="24"/>
          <w:szCs w:val="24"/>
        </w:rPr>
        <w:t>a quo</w:t>
      </w:r>
      <w:r w:rsidRPr="00C4795A">
        <w:rPr>
          <w:rFonts w:ascii="Times New Roman" w:eastAsia="Scotch" w:hAnsi="Times New Roman" w:cs="Times New Roman"/>
          <w:sz w:val="24"/>
          <w:szCs w:val="24"/>
        </w:rPr>
        <w:t xml:space="preserve"> ad applicare immediatamente la norma penale di favore</w:t>
      </w:r>
      <w:r w:rsidR="00C55124" w:rsidRPr="00C4795A">
        <w:rPr>
          <w:rFonts w:ascii="Times New Roman" w:eastAsia="Scotch" w:hAnsi="Times New Roman" w:cs="Times New Roman"/>
          <w:sz w:val="24"/>
          <w:szCs w:val="24"/>
        </w:rPr>
        <w:t>,</w:t>
      </w:r>
      <w:r w:rsidR="00F54280" w:rsidRPr="00C4795A">
        <w:rPr>
          <w:rFonts w:ascii="Times New Roman" w:eastAsia="Scotch" w:hAnsi="Times New Roman" w:cs="Times New Roman"/>
          <w:sz w:val="24"/>
          <w:szCs w:val="24"/>
        </w:rPr>
        <w:t xml:space="preserve"> definendo il giudizi</w:t>
      </w:r>
      <w:r w:rsidR="001D061D" w:rsidRPr="00C4795A">
        <w:rPr>
          <w:rFonts w:ascii="Times New Roman" w:eastAsia="Scotch" w:hAnsi="Times New Roman" w:cs="Times New Roman"/>
          <w:sz w:val="24"/>
          <w:szCs w:val="24"/>
        </w:rPr>
        <w:t xml:space="preserve">o, </w:t>
      </w:r>
      <w:r w:rsidRPr="00C4795A">
        <w:rPr>
          <w:rFonts w:ascii="Times New Roman" w:eastAsia="Scotch" w:hAnsi="Times New Roman" w:cs="Times New Roman"/>
          <w:sz w:val="24"/>
          <w:szCs w:val="24"/>
        </w:rPr>
        <w:t>e contestualmente a sollevare la questione</w:t>
      </w:r>
      <w:r w:rsidR="00B94578" w:rsidRPr="00C4795A">
        <w:rPr>
          <w:rFonts w:ascii="Times New Roman" w:eastAsia="Scotch" w:hAnsi="Times New Roman" w:cs="Times New Roman"/>
          <w:sz w:val="24"/>
          <w:szCs w:val="24"/>
        </w:rPr>
        <w:t xml:space="preserve"> di costituzionalità</w:t>
      </w:r>
      <w:r w:rsidR="00F54280" w:rsidRPr="00C4795A">
        <w:rPr>
          <w:rFonts w:ascii="Times New Roman" w:eastAsia="Scotch" w:hAnsi="Times New Roman" w:cs="Times New Roman"/>
          <w:sz w:val="24"/>
          <w:szCs w:val="24"/>
        </w:rPr>
        <w:t xml:space="preserve"> nell’interesse dell’ordinamento</w:t>
      </w:r>
      <w:r w:rsidRPr="00C4795A">
        <w:rPr>
          <w:rFonts w:ascii="Times New Roman" w:eastAsia="Scotch" w:hAnsi="Times New Roman" w:cs="Times New Roman"/>
          <w:sz w:val="24"/>
          <w:szCs w:val="24"/>
        </w:rPr>
        <w:t xml:space="preserve">. </w:t>
      </w:r>
      <w:r w:rsidR="00193923" w:rsidRPr="00C4795A">
        <w:rPr>
          <w:rFonts w:ascii="Times New Roman" w:eastAsia="Scotch" w:hAnsi="Times New Roman" w:cs="Times New Roman"/>
          <w:sz w:val="24"/>
          <w:szCs w:val="24"/>
        </w:rPr>
        <w:t xml:space="preserve">Mi pareva che quest’interpretazione oltremodo elastica della </w:t>
      </w:r>
      <w:r w:rsidR="00193923" w:rsidRPr="00C4795A">
        <w:rPr>
          <w:rFonts w:ascii="Times New Roman" w:eastAsia="Scotch" w:hAnsi="Times New Roman" w:cs="Times New Roman"/>
          <w:sz w:val="24"/>
          <w:szCs w:val="24"/>
        </w:rPr>
        <w:lastRenderedPageBreak/>
        <w:t>rilevanza potesse trovare giustificazione nell’esigenza di porre in equilibrio la tutela oggettiva del principio di costituzionalità e la tutela soggettiva dei diritti</w:t>
      </w:r>
      <w:r w:rsidR="00193923" w:rsidRPr="00C4795A">
        <w:rPr>
          <w:sz w:val="24"/>
          <w:szCs w:val="24"/>
        </w:rPr>
        <w:t xml:space="preserve"> </w:t>
      </w:r>
      <w:r w:rsidR="00193923" w:rsidRPr="00C4795A">
        <w:rPr>
          <w:rFonts w:ascii="Times New Roman" w:eastAsia="Scotch" w:hAnsi="Times New Roman" w:cs="Times New Roman"/>
          <w:sz w:val="24"/>
          <w:szCs w:val="24"/>
        </w:rPr>
        <w:t>delle parti.</w:t>
      </w:r>
    </w:p>
    <w:p w14:paraId="7281BADE" w14:textId="62CDA195" w:rsidR="00066E65" w:rsidRPr="00C4795A" w:rsidRDefault="00246973" w:rsidP="00FF3EEB">
      <w:pPr>
        <w:spacing w:after="0"/>
        <w:jc w:val="both"/>
        <w:rPr>
          <w:rFonts w:ascii="Times New Roman" w:eastAsia="Scotch" w:hAnsi="Times New Roman" w:cs="Times New Roman"/>
          <w:sz w:val="24"/>
          <w:szCs w:val="24"/>
        </w:rPr>
      </w:pPr>
      <w:r w:rsidRPr="00C4795A">
        <w:rPr>
          <w:rFonts w:ascii="Times New Roman" w:eastAsia="Scotch" w:hAnsi="Times New Roman" w:cs="Times New Roman"/>
          <w:sz w:val="24"/>
          <w:szCs w:val="24"/>
        </w:rPr>
        <w:t xml:space="preserve">Non può disconoscersi che il </w:t>
      </w:r>
      <w:r w:rsidR="00564C21" w:rsidRPr="00C4795A">
        <w:rPr>
          <w:rFonts w:ascii="Times New Roman" w:eastAsia="Scotch" w:hAnsi="Times New Roman" w:cs="Times New Roman"/>
          <w:sz w:val="24"/>
          <w:szCs w:val="24"/>
        </w:rPr>
        <w:t>carattere incidentale della questione</w:t>
      </w:r>
      <w:r w:rsidR="00193923" w:rsidRPr="00C4795A">
        <w:rPr>
          <w:rFonts w:ascii="Times New Roman" w:eastAsia="Scotch" w:hAnsi="Times New Roman" w:cs="Times New Roman"/>
          <w:sz w:val="24"/>
          <w:szCs w:val="24"/>
        </w:rPr>
        <w:t>, ad accogliere la tesi,</w:t>
      </w:r>
      <w:r w:rsidRPr="00C4795A">
        <w:rPr>
          <w:rFonts w:ascii="Times New Roman" w:eastAsia="Scotch" w:hAnsi="Times New Roman" w:cs="Times New Roman"/>
          <w:sz w:val="24"/>
          <w:szCs w:val="24"/>
        </w:rPr>
        <w:t xml:space="preserve"> </w:t>
      </w:r>
      <w:r w:rsidR="00193923" w:rsidRPr="00C4795A">
        <w:rPr>
          <w:rFonts w:ascii="Times New Roman" w:eastAsia="Scotch" w:hAnsi="Times New Roman" w:cs="Times New Roman"/>
          <w:sz w:val="24"/>
          <w:szCs w:val="24"/>
        </w:rPr>
        <w:t xml:space="preserve">sarebbe sottoposto </w:t>
      </w:r>
      <w:r w:rsidRPr="00C4795A">
        <w:rPr>
          <w:rFonts w:ascii="Times New Roman" w:eastAsia="Scotch" w:hAnsi="Times New Roman" w:cs="Times New Roman"/>
          <w:sz w:val="24"/>
          <w:szCs w:val="24"/>
        </w:rPr>
        <w:t>a una robusta torsione applicativa; ma è pur vero che già in altre note circostanze, la Corte ha interpretato in modo elastico i requisiti processuali di accesso al giudizio incidentale, facendo divenire sottilissimo e quasi evanescente il nesso di pregiudizialità fra giudizio principale e giudizio costituzionale (esemplarmente, nelle questioni concernenti la legge elettorale politica)</w:t>
      </w:r>
      <w:r w:rsidRPr="00C4795A">
        <w:rPr>
          <w:rStyle w:val="Rimandonotaapidipagina"/>
          <w:rFonts w:ascii="Times New Roman" w:eastAsia="Scotch" w:hAnsi="Times New Roman" w:cs="Times New Roman"/>
          <w:sz w:val="24"/>
          <w:szCs w:val="24"/>
        </w:rPr>
        <w:footnoteReference w:id="80"/>
      </w:r>
      <w:r w:rsidRPr="00C4795A">
        <w:rPr>
          <w:rFonts w:ascii="Times New Roman" w:eastAsia="Scotch" w:hAnsi="Times New Roman" w:cs="Times New Roman"/>
          <w:sz w:val="24"/>
          <w:szCs w:val="24"/>
        </w:rPr>
        <w:t xml:space="preserve">. </w:t>
      </w:r>
    </w:p>
    <w:p w14:paraId="6AD08FFA" w14:textId="053B8489" w:rsidR="00066E65" w:rsidRPr="00C4795A" w:rsidRDefault="00193923" w:rsidP="00066E65">
      <w:pPr>
        <w:jc w:val="both"/>
        <w:rPr>
          <w:rFonts w:ascii="Times New Roman" w:eastAsia="Scotch" w:hAnsi="Times New Roman" w:cs="Times New Roman"/>
          <w:sz w:val="24"/>
          <w:szCs w:val="24"/>
        </w:rPr>
      </w:pPr>
      <w:r w:rsidRPr="00C4795A">
        <w:rPr>
          <w:rFonts w:ascii="Times New Roman" w:eastAsia="Scotch" w:hAnsi="Times New Roman" w:cs="Times New Roman"/>
          <w:sz w:val="24"/>
          <w:szCs w:val="24"/>
        </w:rPr>
        <w:t>In ogni caso, p</w:t>
      </w:r>
      <w:r w:rsidR="00066E65" w:rsidRPr="00C4795A">
        <w:rPr>
          <w:rFonts w:ascii="Times New Roman" w:eastAsia="Scotch" w:hAnsi="Times New Roman" w:cs="Times New Roman"/>
          <w:sz w:val="24"/>
          <w:szCs w:val="24"/>
        </w:rPr>
        <w:t xml:space="preserve">er rendere possibile </w:t>
      </w:r>
      <w:r w:rsidR="00F54280" w:rsidRPr="00C4795A">
        <w:rPr>
          <w:rFonts w:ascii="Times New Roman" w:eastAsia="Scotch" w:hAnsi="Times New Roman" w:cs="Times New Roman"/>
          <w:sz w:val="24"/>
          <w:szCs w:val="24"/>
        </w:rPr>
        <w:t xml:space="preserve">sul piano processuale questa </w:t>
      </w:r>
      <w:r w:rsidR="001D061D" w:rsidRPr="00C4795A">
        <w:rPr>
          <w:rFonts w:ascii="Times New Roman" w:eastAsia="Scotch" w:hAnsi="Times New Roman" w:cs="Times New Roman"/>
          <w:sz w:val="24"/>
          <w:szCs w:val="24"/>
        </w:rPr>
        <w:t>acrobatica quadratura del cerchio</w:t>
      </w:r>
      <w:r w:rsidR="00F54280" w:rsidRPr="00C4795A">
        <w:rPr>
          <w:rFonts w:ascii="Times New Roman" w:eastAsia="Scotch" w:hAnsi="Times New Roman" w:cs="Times New Roman"/>
          <w:sz w:val="24"/>
          <w:szCs w:val="24"/>
        </w:rPr>
        <w:t xml:space="preserve"> </w:t>
      </w:r>
      <w:r w:rsidR="002A0FC6" w:rsidRPr="00C4795A">
        <w:rPr>
          <w:rFonts w:ascii="Times New Roman" w:eastAsia="Scotch" w:hAnsi="Times New Roman" w:cs="Times New Roman"/>
          <w:sz w:val="24"/>
          <w:szCs w:val="24"/>
        </w:rPr>
        <w:t>senza escludere</w:t>
      </w:r>
      <w:r w:rsidR="00951B8E" w:rsidRPr="00C4795A">
        <w:rPr>
          <w:rFonts w:ascii="Times New Roman" w:eastAsia="Scotch" w:hAnsi="Times New Roman" w:cs="Times New Roman"/>
          <w:sz w:val="24"/>
          <w:szCs w:val="24"/>
        </w:rPr>
        <w:t xml:space="preserve"> del tutto</w:t>
      </w:r>
      <w:r w:rsidR="002A0FC6" w:rsidRPr="00C4795A">
        <w:rPr>
          <w:rFonts w:ascii="Times New Roman" w:eastAsia="Scotch" w:hAnsi="Times New Roman" w:cs="Times New Roman"/>
          <w:sz w:val="24"/>
          <w:szCs w:val="24"/>
        </w:rPr>
        <w:t xml:space="preserve"> l</w:t>
      </w:r>
      <w:r w:rsidR="00B8442D" w:rsidRPr="00C4795A">
        <w:rPr>
          <w:rFonts w:ascii="Times New Roman" w:eastAsia="Scotch" w:hAnsi="Times New Roman" w:cs="Times New Roman"/>
          <w:sz w:val="24"/>
          <w:szCs w:val="24"/>
        </w:rPr>
        <w:t xml:space="preserve">a successiva </w:t>
      </w:r>
      <w:r w:rsidR="002A0FC6" w:rsidRPr="00C4795A">
        <w:rPr>
          <w:rFonts w:ascii="Times New Roman" w:eastAsia="Scotch" w:hAnsi="Times New Roman" w:cs="Times New Roman"/>
          <w:sz w:val="24"/>
          <w:szCs w:val="24"/>
        </w:rPr>
        <w:t>utilizzabilità nel giudizio principale della sentenza costituzionale</w:t>
      </w:r>
      <w:r w:rsidR="001D061D" w:rsidRPr="00C4795A">
        <w:rPr>
          <w:rFonts w:ascii="Times New Roman" w:eastAsia="Scotch" w:hAnsi="Times New Roman" w:cs="Times New Roman"/>
          <w:sz w:val="24"/>
          <w:szCs w:val="24"/>
        </w:rPr>
        <w:t>,</w:t>
      </w:r>
      <w:r w:rsidR="002A0FC6" w:rsidRPr="00C4795A">
        <w:rPr>
          <w:rFonts w:ascii="Times New Roman" w:eastAsia="Scotch" w:hAnsi="Times New Roman" w:cs="Times New Roman"/>
          <w:sz w:val="24"/>
          <w:szCs w:val="24"/>
        </w:rPr>
        <w:t xml:space="preserve"> valutavo l’ipotesi di </w:t>
      </w:r>
      <w:r w:rsidR="00A6144F" w:rsidRPr="00C4795A">
        <w:rPr>
          <w:rFonts w:ascii="Times New Roman" w:eastAsia="Scotch" w:hAnsi="Times New Roman" w:cs="Times New Roman"/>
          <w:sz w:val="24"/>
          <w:szCs w:val="24"/>
        </w:rPr>
        <w:t xml:space="preserve">ricorrere a </w:t>
      </w:r>
      <w:r w:rsidR="00F54280" w:rsidRPr="00C4795A">
        <w:rPr>
          <w:rFonts w:ascii="Times New Roman" w:eastAsia="Scotch" w:hAnsi="Times New Roman" w:cs="Times New Roman"/>
          <w:sz w:val="24"/>
          <w:szCs w:val="24"/>
        </w:rPr>
        <w:t>un</w:t>
      </w:r>
      <w:r w:rsidR="0050533A" w:rsidRPr="00C4795A">
        <w:rPr>
          <w:rFonts w:ascii="Times New Roman" w:eastAsia="Scotch" w:hAnsi="Times New Roman" w:cs="Times New Roman"/>
          <w:sz w:val="24"/>
          <w:szCs w:val="24"/>
        </w:rPr>
        <w:t xml:space="preserve">a sentenza ‘parziale’, </w:t>
      </w:r>
      <w:r w:rsidR="00F54280" w:rsidRPr="00C4795A">
        <w:rPr>
          <w:rFonts w:ascii="Times New Roman" w:eastAsia="Scotch" w:hAnsi="Times New Roman" w:cs="Times New Roman"/>
          <w:sz w:val="24"/>
          <w:szCs w:val="24"/>
        </w:rPr>
        <w:t>definitori</w:t>
      </w:r>
      <w:r w:rsidR="0050533A" w:rsidRPr="00C4795A">
        <w:rPr>
          <w:rFonts w:ascii="Times New Roman" w:eastAsia="Scotch" w:hAnsi="Times New Roman" w:cs="Times New Roman"/>
          <w:sz w:val="24"/>
          <w:szCs w:val="24"/>
        </w:rPr>
        <w:t>a</w:t>
      </w:r>
      <w:r w:rsidR="00F54280" w:rsidRPr="00C4795A">
        <w:rPr>
          <w:rFonts w:ascii="Times New Roman" w:eastAsia="Scotch" w:hAnsi="Times New Roman" w:cs="Times New Roman"/>
          <w:sz w:val="24"/>
          <w:szCs w:val="24"/>
        </w:rPr>
        <w:t xml:space="preserve"> del giudizio</w:t>
      </w:r>
      <w:r w:rsidR="00951B8E" w:rsidRPr="00C4795A">
        <w:rPr>
          <w:rFonts w:ascii="Times New Roman" w:eastAsia="Scotch" w:hAnsi="Times New Roman" w:cs="Times New Roman"/>
          <w:sz w:val="24"/>
          <w:szCs w:val="24"/>
        </w:rPr>
        <w:t>,</w:t>
      </w:r>
      <w:r w:rsidR="00F54280" w:rsidRPr="00C4795A">
        <w:rPr>
          <w:rFonts w:ascii="Times New Roman" w:eastAsia="Scotch" w:hAnsi="Times New Roman" w:cs="Times New Roman"/>
          <w:sz w:val="24"/>
          <w:szCs w:val="24"/>
        </w:rPr>
        <w:t xml:space="preserve"> </w:t>
      </w:r>
      <w:r w:rsidR="002A0FC6" w:rsidRPr="00C4795A">
        <w:rPr>
          <w:rFonts w:ascii="Times New Roman" w:eastAsia="Scotch" w:hAnsi="Times New Roman" w:cs="Times New Roman"/>
          <w:sz w:val="24"/>
          <w:szCs w:val="24"/>
        </w:rPr>
        <w:t xml:space="preserve">con </w:t>
      </w:r>
      <w:r w:rsidR="00F54280" w:rsidRPr="00C4795A">
        <w:rPr>
          <w:rFonts w:ascii="Times New Roman" w:eastAsia="Scotch" w:hAnsi="Times New Roman" w:cs="Times New Roman"/>
          <w:sz w:val="24"/>
          <w:szCs w:val="24"/>
        </w:rPr>
        <w:t xml:space="preserve">successiva correzione dello stesso all’esito della sentenza costituzionale </w:t>
      </w:r>
      <w:r w:rsidR="00951B8E" w:rsidRPr="00C4795A">
        <w:rPr>
          <w:rFonts w:ascii="Times New Roman" w:eastAsia="Scotch" w:hAnsi="Times New Roman" w:cs="Times New Roman"/>
          <w:sz w:val="24"/>
          <w:szCs w:val="24"/>
        </w:rPr>
        <w:t>risolutiva del</w:t>
      </w:r>
      <w:r w:rsidR="00F54280" w:rsidRPr="00C4795A">
        <w:rPr>
          <w:rFonts w:ascii="Times New Roman" w:eastAsia="Scotch" w:hAnsi="Times New Roman" w:cs="Times New Roman"/>
          <w:sz w:val="24"/>
          <w:szCs w:val="24"/>
        </w:rPr>
        <w:t>la questione proposta</w:t>
      </w:r>
      <w:r w:rsidR="00593D69" w:rsidRPr="00C4795A">
        <w:rPr>
          <w:rFonts w:ascii="Times New Roman" w:eastAsia="Scotch" w:hAnsi="Times New Roman" w:cs="Times New Roman"/>
          <w:sz w:val="24"/>
          <w:szCs w:val="24"/>
        </w:rPr>
        <w:t xml:space="preserve">, nell’interesse della legalità </w:t>
      </w:r>
      <w:r w:rsidR="00247C17" w:rsidRPr="00C4795A">
        <w:rPr>
          <w:rFonts w:ascii="Times New Roman" w:eastAsia="Scotch" w:hAnsi="Times New Roman" w:cs="Times New Roman"/>
          <w:sz w:val="24"/>
          <w:szCs w:val="24"/>
        </w:rPr>
        <w:t>ordinamentale</w:t>
      </w:r>
      <w:r w:rsidR="00593D69" w:rsidRPr="00C4795A">
        <w:rPr>
          <w:rFonts w:ascii="Times New Roman" w:eastAsia="Scotch" w:hAnsi="Times New Roman" w:cs="Times New Roman"/>
          <w:sz w:val="24"/>
          <w:szCs w:val="24"/>
        </w:rPr>
        <w:t>,</w:t>
      </w:r>
      <w:r w:rsidR="002A0FC6" w:rsidRPr="00C4795A">
        <w:rPr>
          <w:rFonts w:ascii="Times New Roman" w:eastAsia="Scotch" w:hAnsi="Times New Roman" w:cs="Times New Roman"/>
          <w:sz w:val="24"/>
          <w:szCs w:val="24"/>
        </w:rPr>
        <w:t xml:space="preserve"> </w:t>
      </w:r>
      <w:r w:rsidR="00BB0DAC" w:rsidRPr="00C4795A">
        <w:rPr>
          <w:rFonts w:ascii="Times New Roman" w:eastAsia="Scotch" w:hAnsi="Times New Roman" w:cs="Times New Roman"/>
          <w:sz w:val="24"/>
          <w:szCs w:val="24"/>
        </w:rPr>
        <w:t>sulla norma penale favorevole</w:t>
      </w:r>
      <w:r w:rsidR="00F54280" w:rsidRPr="00C4795A">
        <w:rPr>
          <w:rFonts w:ascii="Times New Roman" w:eastAsia="Scotch" w:hAnsi="Times New Roman" w:cs="Times New Roman"/>
          <w:sz w:val="24"/>
          <w:szCs w:val="24"/>
        </w:rPr>
        <w:t>. Mi sembravano poter soccorrere, al riguardo, gli artt. 130 e 547 c.p.p., nella parte in cui consentono la correzione, anche d’ufficio, dei provvedimenti «inficiati da errori od omissioni che non determinano la nullità, e la cui eliminazione non comporta una modificazione essenziale dell’atto»</w:t>
      </w:r>
      <w:r w:rsidR="000419F4" w:rsidRPr="00C4795A">
        <w:rPr>
          <w:rStyle w:val="Rimandonotaapidipagina"/>
          <w:rFonts w:ascii="Times New Roman" w:eastAsia="Scotch" w:hAnsi="Times New Roman" w:cs="Times New Roman"/>
          <w:sz w:val="24"/>
          <w:szCs w:val="24"/>
        </w:rPr>
        <w:footnoteReference w:id="81"/>
      </w:r>
      <w:r w:rsidR="00F54280" w:rsidRPr="00C4795A">
        <w:rPr>
          <w:rFonts w:ascii="Times New Roman" w:eastAsia="Scotch" w:hAnsi="Times New Roman" w:cs="Times New Roman"/>
          <w:sz w:val="24"/>
          <w:szCs w:val="24"/>
        </w:rPr>
        <w:t xml:space="preserve">. </w:t>
      </w:r>
      <w:r w:rsidR="001D061D" w:rsidRPr="00C4795A">
        <w:rPr>
          <w:rFonts w:ascii="Times New Roman" w:eastAsia="Scotch" w:hAnsi="Times New Roman" w:cs="Times New Roman"/>
          <w:sz w:val="24"/>
          <w:szCs w:val="24"/>
        </w:rPr>
        <w:t>P</w:t>
      </w:r>
      <w:r w:rsidR="00BB0627" w:rsidRPr="00C4795A">
        <w:rPr>
          <w:rFonts w:ascii="Times New Roman" w:eastAsia="Scotch" w:hAnsi="Times New Roman" w:cs="Times New Roman"/>
          <w:sz w:val="24"/>
          <w:szCs w:val="24"/>
        </w:rPr>
        <w:t>rospettavo</w:t>
      </w:r>
      <w:r w:rsidR="000419F4" w:rsidRPr="00C4795A">
        <w:rPr>
          <w:rFonts w:ascii="Times New Roman" w:eastAsia="Scotch" w:hAnsi="Times New Roman" w:cs="Times New Roman"/>
          <w:sz w:val="24"/>
          <w:szCs w:val="24"/>
        </w:rPr>
        <w:t>,</w:t>
      </w:r>
      <w:r w:rsidR="00BB0627" w:rsidRPr="00C4795A">
        <w:rPr>
          <w:rFonts w:ascii="Times New Roman" w:eastAsia="Scotch" w:hAnsi="Times New Roman" w:cs="Times New Roman"/>
          <w:sz w:val="24"/>
          <w:szCs w:val="24"/>
        </w:rPr>
        <w:t xml:space="preserve"> </w:t>
      </w:r>
      <w:r w:rsidR="001D061D" w:rsidRPr="00C4795A">
        <w:rPr>
          <w:rFonts w:ascii="Times New Roman" w:eastAsia="Scotch" w:hAnsi="Times New Roman" w:cs="Times New Roman"/>
          <w:sz w:val="24"/>
          <w:szCs w:val="24"/>
        </w:rPr>
        <w:t>quindi</w:t>
      </w:r>
      <w:r w:rsidR="000419F4" w:rsidRPr="00C4795A">
        <w:rPr>
          <w:rFonts w:ascii="Times New Roman" w:eastAsia="Scotch" w:hAnsi="Times New Roman" w:cs="Times New Roman"/>
          <w:sz w:val="24"/>
          <w:szCs w:val="24"/>
        </w:rPr>
        <w:t>,</w:t>
      </w:r>
      <w:r w:rsidR="001D061D" w:rsidRPr="00C4795A">
        <w:rPr>
          <w:rFonts w:ascii="Times New Roman" w:eastAsia="Scotch" w:hAnsi="Times New Roman" w:cs="Times New Roman"/>
          <w:sz w:val="24"/>
          <w:szCs w:val="24"/>
        </w:rPr>
        <w:t xml:space="preserve"> </w:t>
      </w:r>
      <w:r w:rsidR="00BB0627" w:rsidRPr="00C4795A">
        <w:rPr>
          <w:rFonts w:ascii="Times New Roman" w:eastAsia="Scotch" w:hAnsi="Times New Roman" w:cs="Times New Roman"/>
          <w:sz w:val="24"/>
          <w:szCs w:val="24"/>
        </w:rPr>
        <w:t xml:space="preserve">la possibilità di far rientrare nella nozione di </w:t>
      </w:r>
      <w:r w:rsidR="001D061D" w:rsidRPr="00C4795A">
        <w:rPr>
          <w:rFonts w:ascii="Times New Roman" w:eastAsia="Scotch" w:hAnsi="Times New Roman" w:cs="Times New Roman"/>
          <w:sz w:val="24"/>
          <w:szCs w:val="24"/>
        </w:rPr>
        <w:t>‘</w:t>
      </w:r>
      <w:r w:rsidR="00BB0627" w:rsidRPr="00C4795A">
        <w:rPr>
          <w:rFonts w:ascii="Times New Roman" w:eastAsia="Scotch" w:hAnsi="Times New Roman" w:cs="Times New Roman"/>
          <w:sz w:val="24"/>
          <w:szCs w:val="24"/>
        </w:rPr>
        <w:t>errore</w:t>
      </w:r>
      <w:r w:rsidR="001D061D" w:rsidRPr="00C4795A">
        <w:rPr>
          <w:rFonts w:ascii="Times New Roman" w:eastAsia="Scotch" w:hAnsi="Times New Roman" w:cs="Times New Roman"/>
          <w:sz w:val="24"/>
          <w:szCs w:val="24"/>
        </w:rPr>
        <w:t>’</w:t>
      </w:r>
      <w:r w:rsidR="00BB0DAC" w:rsidRPr="00C4795A">
        <w:rPr>
          <w:rFonts w:ascii="Times New Roman" w:eastAsia="Scotch" w:hAnsi="Times New Roman" w:cs="Times New Roman"/>
          <w:sz w:val="24"/>
          <w:szCs w:val="24"/>
        </w:rPr>
        <w:t xml:space="preserve">, l’omissione ‘inevitabile’ </w:t>
      </w:r>
      <w:r w:rsidR="000E39B0" w:rsidRPr="00C4795A">
        <w:rPr>
          <w:rFonts w:ascii="Times New Roman" w:eastAsia="Scotch" w:hAnsi="Times New Roman" w:cs="Times New Roman"/>
          <w:sz w:val="24"/>
          <w:szCs w:val="24"/>
        </w:rPr>
        <w:t xml:space="preserve">e consapevole </w:t>
      </w:r>
      <w:r w:rsidR="00D75527" w:rsidRPr="00C4795A">
        <w:rPr>
          <w:rFonts w:ascii="Times New Roman" w:eastAsia="Scotch" w:hAnsi="Times New Roman" w:cs="Times New Roman"/>
          <w:sz w:val="24"/>
          <w:szCs w:val="24"/>
        </w:rPr>
        <w:t xml:space="preserve">– </w:t>
      </w:r>
      <w:r w:rsidR="00BB0DAC" w:rsidRPr="00C4795A">
        <w:rPr>
          <w:rFonts w:ascii="Times New Roman" w:eastAsia="Scotch" w:hAnsi="Times New Roman" w:cs="Times New Roman"/>
          <w:sz w:val="24"/>
          <w:szCs w:val="24"/>
        </w:rPr>
        <w:t xml:space="preserve">perché necessaria </w:t>
      </w:r>
      <w:r w:rsidR="001D061D" w:rsidRPr="00C4795A">
        <w:rPr>
          <w:rFonts w:ascii="Times New Roman" w:eastAsia="Scotch" w:hAnsi="Times New Roman" w:cs="Times New Roman"/>
          <w:sz w:val="24"/>
          <w:szCs w:val="24"/>
        </w:rPr>
        <w:t xml:space="preserve">all’immediata ‘uscita dal </w:t>
      </w:r>
      <w:proofErr w:type="spellStart"/>
      <w:r w:rsidR="001D061D" w:rsidRPr="00C4795A">
        <w:rPr>
          <w:rFonts w:ascii="Times New Roman" w:eastAsia="Scotch" w:hAnsi="Times New Roman" w:cs="Times New Roman"/>
          <w:sz w:val="24"/>
          <w:szCs w:val="24"/>
        </w:rPr>
        <w:t>processo’</w:t>
      </w:r>
      <w:proofErr w:type="spellEnd"/>
      <w:r w:rsidR="00D75527" w:rsidRPr="00C4795A">
        <w:rPr>
          <w:rFonts w:ascii="Times New Roman" w:eastAsia="Scotch" w:hAnsi="Times New Roman" w:cs="Times New Roman"/>
          <w:sz w:val="24"/>
          <w:szCs w:val="24"/>
        </w:rPr>
        <w:t xml:space="preserve"> </w:t>
      </w:r>
      <w:r w:rsidR="000E39B0" w:rsidRPr="00C4795A">
        <w:rPr>
          <w:rFonts w:ascii="Times New Roman" w:eastAsia="Scotch" w:hAnsi="Times New Roman" w:cs="Times New Roman"/>
          <w:sz w:val="24"/>
          <w:szCs w:val="24"/>
        </w:rPr>
        <w:t xml:space="preserve">della parte </w:t>
      </w:r>
      <w:r w:rsidR="00D75527" w:rsidRPr="00C4795A">
        <w:rPr>
          <w:rFonts w:ascii="Times New Roman" w:eastAsia="Scotch" w:hAnsi="Times New Roman" w:cs="Times New Roman"/>
          <w:sz w:val="24"/>
          <w:szCs w:val="24"/>
        </w:rPr>
        <w:t xml:space="preserve">– </w:t>
      </w:r>
      <w:r w:rsidR="00BB0DAC" w:rsidRPr="00C4795A">
        <w:rPr>
          <w:rFonts w:ascii="Times New Roman" w:eastAsia="Scotch" w:hAnsi="Times New Roman" w:cs="Times New Roman"/>
          <w:sz w:val="24"/>
          <w:szCs w:val="24"/>
        </w:rPr>
        <w:t xml:space="preserve">consistente </w:t>
      </w:r>
      <w:r w:rsidR="00D75527" w:rsidRPr="00C4795A">
        <w:rPr>
          <w:rFonts w:ascii="Times New Roman" w:eastAsia="Scotch" w:hAnsi="Times New Roman" w:cs="Times New Roman"/>
          <w:sz w:val="24"/>
          <w:szCs w:val="24"/>
        </w:rPr>
        <w:t xml:space="preserve">nella mancanza di </w:t>
      </w:r>
      <w:r w:rsidRPr="00C4795A">
        <w:rPr>
          <w:rFonts w:ascii="Times New Roman" w:eastAsia="Scotch" w:hAnsi="Times New Roman" w:cs="Times New Roman"/>
          <w:sz w:val="24"/>
          <w:szCs w:val="24"/>
        </w:rPr>
        <w:t xml:space="preserve">ogni </w:t>
      </w:r>
      <w:r w:rsidR="00D75527" w:rsidRPr="00C4795A">
        <w:rPr>
          <w:rFonts w:ascii="Times New Roman" w:eastAsia="Scotch" w:hAnsi="Times New Roman" w:cs="Times New Roman"/>
          <w:sz w:val="24"/>
          <w:szCs w:val="24"/>
        </w:rPr>
        <w:t xml:space="preserve">riferimento, nella motivazione della sentenza, al </w:t>
      </w:r>
      <w:r w:rsidRPr="00C4795A">
        <w:rPr>
          <w:rFonts w:ascii="Times New Roman" w:eastAsia="Scotch" w:hAnsi="Times New Roman" w:cs="Times New Roman"/>
          <w:sz w:val="24"/>
          <w:szCs w:val="24"/>
        </w:rPr>
        <w:t xml:space="preserve">sopravveniente </w:t>
      </w:r>
      <w:r w:rsidR="00D75527" w:rsidRPr="00C4795A">
        <w:rPr>
          <w:rFonts w:ascii="Times New Roman" w:eastAsia="Scotch" w:hAnsi="Times New Roman" w:cs="Times New Roman"/>
          <w:i/>
          <w:iCs/>
          <w:sz w:val="24"/>
          <w:szCs w:val="24"/>
        </w:rPr>
        <w:t>dictum</w:t>
      </w:r>
      <w:r w:rsidR="00D75527" w:rsidRPr="00C4795A">
        <w:rPr>
          <w:rFonts w:ascii="Times New Roman" w:eastAsia="Scotch" w:hAnsi="Times New Roman" w:cs="Times New Roman"/>
          <w:sz w:val="24"/>
          <w:szCs w:val="24"/>
        </w:rPr>
        <w:t xml:space="preserve"> della Corte risolutivo del dubbio di costituzionalità affacciato dal giudice. La correzione della sentenza applicativa della norma penale di favore, senza spostare la ‘sostanza’ della decisione</w:t>
      </w:r>
      <w:r w:rsidRPr="00C4795A">
        <w:rPr>
          <w:rFonts w:ascii="Times New Roman" w:eastAsia="Scotch" w:hAnsi="Times New Roman" w:cs="Times New Roman"/>
          <w:sz w:val="24"/>
          <w:szCs w:val="24"/>
        </w:rPr>
        <w:t xml:space="preserve">, </w:t>
      </w:r>
      <w:r w:rsidR="00D75527" w:rsidRPr="00C4795A">
        <w:rPr>
          <w:rFonts w:ascii="Times New Roman" w:eastAsia="Scotch" w:hAnsi="Times New Roman" w:cs="Times New Roman"/>
          <w:sz w:val="24"/>
          <w:szCs w:val="24"/>
        </w:rPr>
        <w:t xml:space="preserve">sulla quale </w:t>
      </w:r>
      <w:r w:rsidR="00BB0DAC" w:rsidRPr="00C4795A">
        <w:rPr>
          <w:rFonts w:ascii="Times New Roman" w:eastAsia="Scotch" w:hAnsi="Times New Roman" w:cs="Times New Roman"/>
          <w:sz w:val="24"/>
          <w:szCs w:val="24"/>
        </w:rPr>
        <w:t xml:space="preserve">il giudizio costituzionale resta </w:t>
      </w:r>
      <w:r w:rsidR="00D75527" w:rsidRPr="00C4795A">
        <w:rPr>
          <w:rFonts w:ascii="Times New Roman" w:eastAsia="Scotch" w:hAnsi="Times New Roman" w:cs="Times New Roman"/>
          <w:sz w:val="24"/>
          <w:szCs w:val="24"/>
        </w:rPr>
        <w:t>pratica</w:t>
      </w:r>
      <w:r w:rsidR="00BB0DAC" w:rsidRPr="00C4795A">
        <w:rPr>
          <w:rFonts w:ascii="Times New Roman" w:eastAsia="Scotch" w:hAnsi="Times New Roman" w:cs="Times New Roman"/>
          <w:sz w:val="24"/>
          <w:szCs w:val="24"/>
        </w:rPr>
        <w:t xml:space="preserve">mente indifferente, </w:t>
      </w:r>
      <w:r w:rsidRPr="00C4795A">
        <w:rPr>
          <w:rFonts w:ascii="Times New Roman" w:eastAsia="Scotch" w:hAnsi="Times New Roman" w:cs="Times New Roman"/>
          <w:sz w:val="24"/>
          <w:szCs w:val="24"/>
        </w:rPr>
        <w:t xml:space="preserve">si </w:t>
      </w:r>
      <w:r w:rsidR="00EE6ADE" w:rsidRPr="00C4795A">
        <w:rPr>
          <w:rFonts w:ascii="Times New Roman" w:eastAsia="Scotch" w:hAnsi="Times New Roman" w:cs="Times New Roman"/>
          <w:sz w:val="24"/>
          <w:szCs w:val="24"/>
        </w:rPr>
        <w:t xml:space="preserve">verrebbe </w:t>
      </w:r>
      <w:r w:rsidRPr="00C4795A">
        <w:rPr>
          <w:rFonts w:ascii="Times New Roman" w:eastAsia="Scotch" w:hAnsi="Times New Roman" w:cs="Times New Roman"/>
          <w:sz w:val="24"/>
          <w:szCs w:val="24"/>
        </w:rPr>
        <w:t xml:space="preserve">in questo caso </w:t>
      </w:r>
      <w:r w:rsidR="00EE6ADE" w:rsidRPr="00C4795A">
        <w:rPr>
          <w:rFonts w:ascii="Times New Roman" w:eastAsia="Scotch" w:hAnsi="Times New Roman" w:cs="Times New Roman"/>
          <w:sz w:val="24"/>
          <w:szCs w:val="24"/>
        </w:rPr>
        <w:t xml:space="preserve">a </w:t>
      </w:r>
      <w:r w:rsidR="00BB0DAC" w:rsidRPr="00C4795A">
        <w:rPr>
          <w:rFonts w:ascii="Times New Roman" w:eastAsia="Scotch" w:hAnsi="Times New Roman" w:cs="Times New Roman"/>
          <w:sz w:val="24"/>
          <w:szCs w:val="24"/>
        </w:rPr>
        <w:t>configura</w:t>
      </w:r>
      <w:r w:rsidR="00EE6ADE" w:rsidRPr="00C4795A">
        <w:rPr>
          <w:rFonts w:ascii="Times New Roman" w:eastAsia="Scotch" w:hAnsi="Times New Roman" w:cs="Times New Roman"/>
          <w:sz w:val="24"/>
          <w:szCs w:val="24"/>
        </w:rPr>
        <w:t>re</w:t>
      </w:r>
      <w:r w:rsidR="00BB0DAC" w:rsidRPr="00C4795A">
        <w:rPr>
          <w:rFonts w:ascii="Times New Roman" w:eastAsia="Scotch" w:hAnsi="Times New Roman" w:cs="Times New Roman"/>
          <w:sz w:val="24"/>
          <w:szCs w:val="24"/>
        </w:rPr>
        <w:t xml:space="preserve"> come uno degli </w:t>
      </w:r>
      <w:r w:rsidR="00B6020A" w:rsidRPr="00C4795A">
        <w:rPr>
          <w:rFonts w:ascii="Times New Roman" w:eastAsia="Scotch" w:hAnsi="Times New Roman" w:cs="Times New Roman"/>
          <w:sz w:val="24"/>
          <w:szCs w:val="24"/>
        </w:rPr>
        <w:t>«</w:t>
      </w:r>
      <w:r w:rsidR="00BB0DAC" w:rsidRPr="00C4795A">
        <w:rPr>
          <w:rFonts w:ascii="Times New Roman" w:eastAsia="Scotch" w:hAnsi="Times New Roman" w:cs="Times New Roman"/>
          <w:sz w:val="24"/>
          <w:szCs w:val="24"/>
        </w:rPr>
        <w:t>interventi correttivi imposti soltanto dalla necessità di armonizzare l’estrinsecazione formale della decisione con il suo reale intangibile contenuto</w:t>
      </w:r>
      <w:r w:rsidR="00B6020A" w:rsidRPr="00C4795A">
        <w:rPr>
          <w:rFonts w:ascii="Times New Roman" w:eastAsia="Scotch" w:hAnsi="Times New Roman" w:cs="Times New Roman"/>
          <w:sz w:val="24"/>
          <w:szCs w:val="24"/>
        </w:rPr>
        <w:t>»</w:t>
      </w:r>
      <w:r w:rsidR="00EE6ADE" w:rsidRPr="00C4795A">
        <w:rPr>
          <w:rStyle w:val="Rimandonotaapidipagina"/>
          <w:rFonts w:ascii="Times New Roman" w:eastAsia="Scotch" w:hAnsi="Times New Roman" w:cs="Times New Roman"/>
          <w:sz w:val="24"/>
          <w:szCs w:val="24"/>
        </w:rPr>
        <w:footnoteReference w:id="82"/>
      </w:r>
      <w:r w:rsidR="00EE6ADE" w:rsidRPr="00C4795A">
        <w:rPr>
          <w:rFonts w:ascii="Times New Roman" w:eastAsia="Scotch" w:hAnsi="Times New Roman" w:cs="Times New Roman"/>
          <w:sz w:val="24"/>
          <w:szCs w:val="24"/>
        </w:rPr>
        <w:t>.</w:t>
      </w:r>
    </w:p>
    <w:p w14:paraId="7BF7CD34" w14:textId="74C271B7" w:rsidR="00E14942" w:rsidRPr="00C4795A" w:rsidRDefault="0031034F" w:rsidP="00FF3EEB">
      <w:pPr>
        <w:spacing w:after="0"/>
        <w:jc w:val="both"/>
        <w:rPr>
          <w:rFonts w:ascii="Times New Roman" w:eastAsia="Scotch" w:hAnsi="Times New Roman" w:cs="Times New Roman"/>
          <w:sz w:val="24"/>
          <w:szCs w:val="24"/>
        </w:rPr>
      </w:pPr>
      <w:r w:rsidRPr="00C4795A">
        <w:rPr>
          <w:rFonts w:ascii="Times New Roman" w:eastAsia="Scotch" w:hAnsi="Times New Roman" w:cs="Times New Roman"/>
          <w:sz w:val="24"/>
          <w:szCs w:val="24"/>
        </w:rPr>
        <w:t>Ho indugiato sull</w:t>
      </w:r>
      <w:r w:rsidR="000E39B0" w:rsidRPr="00C4795A">
        <w:rPr>
          <w:rFonts w:ascii="Times New Roman" w:eastAsia="Scotch" w:hAnsi="Times New Roman" w:cs="Times New Roman"/>
          <w:sz w:val="24"/>
          <w:szCs w:val="24"/>
        </w:rPr>
        <w:t>e</w:t>
      </w:r>
      <w:r w:rsidRPr="00C4795A">
        <w:rPr>
          <w:rFonts w:ascii="Times New Roman" w:eastAsia="Scotch" w:hAnsi="Times New Roman" w:cs="Times New Roman"/>
          <w:sz w:val="24"/>
          <w:szCs w:val="24"/>
        </w:rPr>
        <w:t xml:space="preserve"> questioni involgenti norme penali di favore perché le domande che ponevo allora </w:t>
      </w:r>
      <w:r w:rsidR="00EE6ADE" w:rsidRPr="00C4795A">
        <w:rPr>
          <w:rFonts w:ascii="Times New Roman" w:eastAsia="Scotch" w:hAnsi="Times New Roman" w:cs="Times New Roman"/>
          <w:sz w:val="24"/>
          <w:szCs w:val="24"/>
        </w:rPr>
        <w:t>paiono</w:t>
      </w:r>
      <w:r w:rsidRPr="00C4795A">
        <w:rPr>
          <w:rFonts w:ascii="Times New Roman" w:eastAsia="Scotch" w:hAnsi="Times New Roman" w:cs="Times New Roman"/>
          <w:sz w:val="24"/>
          <w:szCs w:val="24"/>
        </w:rPr>
        <w:t xml:space="preserve"> </w:t>
      </w:r>
      <w:r w:rsidR="0050533A" w:rsidRPr="00C4795A">
        <w:rPr>
          <w:rFonts w:ascii="Times New Roman" w:eastAsia="Scotch" w:hAnsi="Times New Roman" w:cs="Times New Roman"/>
          <w:sz w:val="24"/>
          <w:szCs w:val="24"/>
        </w:rPr>
        <w:t xml:space="preserve">in qualche misura </w:t>
      </w:r>
      <w:r w:rsidRPr="00C4795A">
        <w:rPr>
          <w:rFonts w:ascii="Times New Roman" w:eastAsia="Scotch" w:hAnsi="Times New Roman" w:cs="Times New Roman"/>
          <w:sz w:val="24"/>
          <w:szCs w:val="24"/>
        </w:rPr>
        <w:t xml:space="preserve">trasponibili, </w:t>
      </w:r>
      <w:proofErr w:type="spellStart"/>
      <w:r w:rsidRPr="00C4795A">
        <w:rPr>
          <w:rFonts w:ascii="Times New Roman" w:eastAsia="Scotch" w:hAnsi="Times New Roman" w:cs="Times New Roman"/>
          <w:i/>
          <w:iCs/>
          <w:sz w:val="24"/>
          <w:szCs w:val="24"/>
        </w:rPr>
        <w:t>mutatis</w:t>
      </w:r>
      <w:proofErr w:type="spellEnd"/>
      <w:r w:rsidRPr="00C4795A">
        <w:rPr>
          <w:rFonts w:ascii="Times New Roman" w:eastAsia="Scotch" w:hAnsi="Times New Roman" w:cs="Times New Roman"/>
          <w:i/>
          <w:iCs/>
          <w:sz w:val="24"/>
          <w:szCs w:val="24"/>
        </w:rPr>
        <w:t xml:space="preserve"> </w:t>
      </w:r>
      <w:proofErr w:type="spellStart"/>
      <w:r w:rsidRPr="00C4795A">
        <w:rPr>
          <w:rFonts w:ascii="Times New Roman" w:eastAsia="Scotch" w:hAnsi="Times New Roman" w:cs="Times New Roman"/>
          <w:i/>
          <w:iCs/>
          <w:sz w:val="24"/>
          <w:szCs w:val="24"/>
        </w:rPr>
        <w:t>mutandis</w:t>
      </w:r>
      <w:proofErr w:type="spellEnd"/>
      <w:r w:rsidRPr="00C4795A">
        <w:rPr>
          <w:rFonts w:ascii="Times New Roman" w:eastAsia="Scotch" w:hAnsi="Times New Roman" w:cs="Times New Roman"/>
          <w:sz w:val="24"/>
          <w:szCs w:val="24"/>
        </w:rPr>
        <w:t xml:space="preserve">, alla questione che oggi ne occupa. </w:t>
      </w:r>
      <w:r w:rsidR="00E14942" w:rsidRPr="00C4795A">
        <w:rPr>
          <w:rFonts w:ascii="Times New Roman" w:eastAsia="Scotch" w:hAnsi="Times New Roman" w:cs="Times New Roman"/>
          <w:sz w:val="24"/>
          <w:szCs w:val="24"/>
        </w:rPr>
        <w:t xml:space="preserve">Anche </w:t>
      </w:r>
      <w:r w:rsidR="003F62E2" w:rsidRPr="00C4795A">
        <w:rPr>
          <w:rFonts w:ascii="Times New Roman" w:eastAsia="Scotch" w:hAnsi="Times New Roman" w:cs="Times New Roman"/>
          <w:sz w:val="24"/>
          <w:szCs w:val="24"/>
        </w:rPr>
        <w:t>nelle questioni con doppio parametro</w:t>
      </w:r>
      <w:r w:rsidR="00E14942" w:rsidRPr="00C4795A">
        <w:rPr>
          <w:rFonts w:ascii="Times New Roman" w:eastAsia="Scotch" w:hAnsi="Times New Roman" w:cs="Times New Roman"/>
          <w:sz w:val="24"/>
          <w:szCs w:val="24"/>
        </w:rPr>
        <w:t>, e in modo ancor più pressante, si pone</w:t>
      </w:r>
      <w:r w:rsidR="00672B83" w:rsidRPr="00C4795A">
        <w:rPr>
          <w:rFonts w:ascii="Times New Roman" w:eastAsia="Scotch" w:hAnsi="Times New Roman" w:cs="Times New Roman"/>
          <w:sz w:val="24"/>
          <w:szCs w:val="24"/>
        </w:rPr>
        <w:t xml:space="preserve">, infatti, </w:t>
      </w:r>
      <w:r w:rsidR="00E14942" w:rsidRPr="00C4795A">
        <w:rPr>
          <w:rFonts w:ascii="Times New Roman" w:eastAsia="Scotch" w:hAnsi="Times New Roman" w:cs="Times New Roman"/>
          <w:sz w:val="24"/>
          <w:szCs w:val="24"/>
        </w:rPr>
        <w:t xml:space="preserve">il quesito se </w:t>
      </w:r>
      <w:r w:rsidR="006656C8" w:rsidRPr="00C4795A">
        <w:rPr>
          <w:rFonts w:ascii="Times New Roman" w:eastAsia="Scotch" w:hAnsi="Times New Roman" w:cs="Times New Roman"/>
          <w:sz w:val="24"/>
          <w:szCs w:val="24"/>
        </w:rPr>
        <w:t xml:space="preserve">l’esigenza di garantire la certezza del diritto e la definitiva </w:t>
      </w:r>
      <w:r w:rsidR="00672B83" w:rsidRPr="00C4795A">
        <w:rPr>
          <w:rFonts w:ascii="Times New Roman" w:eastAsia="Scotch" w:hAnsi="Times New Roman" w:cs="Times New Roman"/>
          <w:sz w:val="24"/>
          <w:szCs w:val="24"/>
        </w:rPr>
        <w:t>espunzione</w:t>
      </w:r>
      <w:r w:rsidR="00C67023" w:rsidRPr="00C4795A">
        <w:rPr>
          <w:rFonts w:ascii="Times New Roman" w:eastAsia="Scotch" w:hAnsi="Times New Roman" w:cs="Times New Roman"/>
          <w:sz w:val="24"/>
          <w:szCs w:val="24"/>
        </w:rPr>
        <w:t xml:space="preserve"> dall’ordinamento</w:t>
      </w:r>
      <w:r w:rsidR="00672B83" w:rsidRPr="00C4795A">
        <w:rPr>
          <w:rFonts w:ascii="Times New Roman" w:eastAsia="Scotch" w:hAnsi="Times New Roman" w:cs="Times New Roman"/>
          <w:sz w:val="24"/>
          <w:szCs w:val="24"/>
        </w:rPr>
        <w:t xml:space="preserve"> </w:t>
      </w:r>
      <w:r w:rsidR="006656C8" w:rsidRPr="00C4795A">
        <w:rPr>
          <w:rFonts w:ascii="Times New Roman" w:eastAsia="Scotch" w:hAnsi="Times New Roman" w:cs="Times New Roman"/>
          <w:sz w:val="24"/>
          <w:szCs w:val="24"/>
        </w:rPr>
        <w:t>d</w:t>
      </w:r>
      <w:r w:rsidR="00672B83" w:rsidRPr="00C4795A">
        <w:rPr>
          <w:rFonts w:ascii="Times New Roman" w:eastAsia="Scotch" w:hAnsi="Times New Roman" w:cs="Times New Roman"/>
          <w:sz w:val="24"/>
          <w:szCs w:val="24"/>
        </w:rPr>
        <w:t>e</w:t>
      </w:r>
      <w:r w:rsidR="006656C8" w:rsidRPr="00C4795A">
        <w:rPr>
          <w:rFonts w:ascii="Times New Roman" w:eastAsia="Scotch" w:hAnsi="Times New Roman" w:cs="Times New Roman"/>
          <w:sz w:val="24"/>
          <w:szCs w:val="24"/>
        </w:rPr>
        <w:t>lla norma anti</w:t>
      </w:r>
      <w:r w:rsidR="007C6674" w:rsidRPr="00C4795A">
        <w:rPr>
          <w:rFonts w:ascii="Times New Roman" w:eastAsia="Scotch" w:hAnsi="Times New Roman" w:cs="Times New Roman"/>
          <w:sz w:val="24"/>
          <w:szCs w:val="24"/>
        </w:rPr>
        <w:t>-</w:t>
      </w:r>
      <w:r w:rsidR="006656C8" w:rsidRPr="00C4795A">
        <w:rPr>
          <w:rFonts w:ascii="Times New Roman" w:eastAsia="Scotch" w:hAnsi="Times New Roman" w:cs="Times New Roman"/>
          <w:sz w:val="24"/>
          <w:szCs w:val="24"/>
        </w:rPr>
        <w:t>unionale</w:t>
      </w:r>
      <w:r w:rsidR="00CC652A" w:rsidRPr="00C4795A">
        <w:rPr>
          <w:rFonts w:ascii="Times New Roman" w:eastAsia="Scotch" w:hAnsi="Times New Roman" w:cs="Times New Roman"/>
          <w:sz w:val="24"/>
          <w:szCs w:val="24"/>
        </w:rPr>
        <w:t xml:space="preserve"> e</w:t>
      </w:r>
      <w:r w:rsidR="003F62E2" w:rsidRPr="00C4795A">
        <w:rPr>
          <w:rFonts w:ascii="Times New Roman" w:eastAsia="Scotch" w:hAnsi="Times New Roman" w:cs="Times New Roman"/>
          <w:sz w:val="24"/>
          <w:szCs w:val="24"/>
        </w:rPr>
        <w:t xml:space="preserve"> simultaneamente </w:t>
      </w:r>
      <w:r w:rsidR="00CC652A" w:rsidRPr="00C4795A">
        <w:rPr>
          <w:rFonts w:ascii="Times New Roman" w:eastAsia="Scotch" w:hAnsi="Times New Roman" w:cs="Times New Roman"/>
          <w:sz w:val="24"/>
          <w:szCs w:val="24"/>
        </w:rPr>
        <w:t>incostituzionale</w:t>
      </w:r>
      <w:r w:rsidR="006656C8" w:rsidRPr="00C4795A">
        <w:rPr>
          <w:rFonts w:ascii="Times New Roman" w:eastAsia="Scotch" w:hAnsi="Times New Roman" w:cs="Times New Roman"/>
          <w:sz w:val="24"/>
          <w:szCs w:val="24"/>
        </w:rPr>
        <w:t xml:space="preserve"> p</w:t>
      </w:r>
      <w:r w:rsidR="00E14942" w:rsidRPr="00C4795A">
        <w:rPr>
          <w:rFonts w:ascii="Times New Roman" w:eastAsia="Scotch" w:hAnsi="Times New Roman" w:cs="Times New Roman"/>
          <w:sz w:val="24"/>
          <w:szCs w:val="24"/>
        </w:rPr>
        <w:t xml:space="preserve">ossa </w:t>
      </w:r>
      <w:r w:rsidR="006656C8" w:rsidRPr="00C4795A">
        <w:rPr>
          <w:rFonts w:ascii="Times New Roman" w:eastAsia="Scotch" w:hAnsi="Times New Roman" w:cs="Times New Roman"/>
          <w:sz w:val="24"/>
          <w:szCs w:val="24"/>
        </w:rPr>
        <w:t>giustificare il sacrificio, pur temporaneo, del</w:t>
      </w:r>
      <w:r w:rsidR="0062526F" w:rsidRPr="00C4795A">
        <w:rPr>
          <w:rFonts w:ascii="Times New Roman" w:eastAsia="Scotch" w:hAnsi="Times New Roman" w:cs="Times New Roman"/>
          <w:sz w:val="24"/>
          <w:szCs w:val="24"/>
        </w:rPr>
        <w:t xml:space="preserve"> bene della vita</w:t>
      </w:r>
      <w:r w:rsidR="007C6674" w:rsidRPr="00C4795A">
        <w:rPr>
          <w:rFonts w:ascii="Times New Roman" w:eastAsia="Scotch" w:hAnsi="Times New Roman" w:cs="Times New Roman"/>
          <w:sz w:val="24"/>
          <w:szCs w:val="24"/>
        </w:rPr>
        <w:t xml:space="preserve"> </w:t>
      </w:r>
      <w:r w:rsidR="00672B83" w:rsidRPr="00C4795A">
        <w:rPr>
          <w:rFonts w:ascii="Times New Roman" w:eastAsia="Scotch" w:hAnsi="Times New Roman" w:cs="Times New Roman"/>
          <w:sz w:val="24"/>
          <w:szCs w:val="24"/>
        </w:rPr>
        <w:t>assicurato dal</w:t>
      </w:r>
      <w:r w:rsidR="007C6674" w:rsidRPr="00C4795A">
        <w:rPr>
          <w:rFonts w:ascii="Times New Roman" w:eastAsia="Scotch" w:hAnsi="Times New Roman" w:cs="Times New Roman"/>
          <w:sz w:val="24"/>
          <w:szCs w:val="24"/>
        </w:rPr>
        <w:t xml:space="preserve">l’immediata applicazione del diritto </w:t>
      </w:r>
      <w:r w:rsidR="00CC652A" w:rsidRPr="00C4795A">
        <w:rPr>
          <w:rFonts w:ascii="Times New Roman" w:eastAsia="Scotch" w:hAnsi="Times New Roman" w:cs="Times New Roman"/>
          <w:sz w:val="24"/>
          <w:szCs w:val="24"/>
        </w:rPr>
        <w:t>dell’</w:t>
      </w:r>
      <w:r w:rsidR="007C6674" w:rsidRPr="00C4795A">
        <w:rPr>
          <w:rFonts w:ascii="Times New Roman" w:eastAsia="Scotch" w:hAnsi="Times New Roman" w:cs="Times New Roman"/>
          <w:sz w:val="24"/>
          <w:szCs w:val="24"/>
        </w:rPr>
        <w:t>UE</w:t>
      </w:r>
      <w:r w:rsidR="00E14942" w:rsidRPr="00C4795A">
        <w:rPr>
          <w:rFonts w:ascii="Times New Roman" w:eastAsia="Scotch" w:hAnsi="Times New Roman" w:cs="Times New Roman"/>
          <w:sz w:val="24"/>
          <w:szCs w:val="24"/>
        </w:rPr>
        <w:t>.</w:t>
      </w:r>
      <w:r w:rsidR="007C6674" w:rsidRPr="00C4795A">
        <w:rPr>
          <w:rFonts w:ascii="Times New Roman" w:eastAsia="Scotch" w:hAnsi="Times New Roman" w:cs="Times New Roman"/>
          <w:sz w:val="24"/>
          <w:szCs w:val="24"/>
        </w:rPr>
        <w:t xml:space="preserve"> Se</w:t>
      </w:r>
      <w:r w:rsidR="00C67023" w:rsidRPr="00C4795A">
        <w:rPr>
          <w:rFonts w:ascii="Times New Roman" w:eastAsia="Scotch" w:hAnsi="Times New Roman" w:cs="Times New Roman"/>
          <w:sz w:val="24"/>
          <w:szCs w:val="24"/>
        </w:rPr>
        <w:t xml:space="preserve"> insomma</w:t>
      </w:r>
      <w:r w:rsidR="008F5936" w:rsidRPr="00C4795A">
        <w:rPr>
          <w:rFonts w:ascii="Times New Roman" w:eastAsia="Scotch" w:hAnsi="Times New Roman" w:cs="Times New Roman"/>
          <w:sz w:val="24"/>
          <w:szCs w:val="24"/>
        </w:rPr>
        <w:t xml:space="preserve">, </w:t>
      </w:r>
      <w:r w:rsidR="00EE6ADE" w:rsidRPr="00C4795A">
        <w:rPr>
          <w:rFonts w:ascii="Times New Roman" w:eastAsia="Scotch" w:hAnsi="Times New Roman" w:cs="Times New Roman"/>
          <w:sz w:val="24"/>
          <w:szCs w:val="24"/>
        </w:rPr>
        <w:t xml:space="preserve">in linea </w:t>
      </w:r>
      <w:r w:rsidR="003F62E2" w:rsidRPr="00C4795A">
        <w:rPr>
          <w:rFonts w:ascii="Times New Roman" w:eastAsia="Scotch" w:hAnsi="Times New Roman" w:cs="Times New Roman"/>
          <w:sz w:val="24"/>
          <w:szCs w:val="24"/>
        </w:rPr>
        <w:t xml:space="preserve">più </w:t>
      </w:r>
      <w:r w:rsidR="00EE6ADE" w:rsidRPr="00C4795A">
        <w:rPr>
          <w:rFonts w:ascii="Times New Roman" w:eastAsia="Scotch" w:hAnsi="Times New Roman" w:cs="Times New Roman"/>
          <w:sz w:val="24"/>
          <w:szCs w:val="24"/>
        </w:rPr>
        <w:t>generale e di principio</w:t>
      </w:r>
      <w:r w:rsidR="008F5936" w:rsidRPr="00C4795A">
        <w:rPr>
          <w:rFonts w:ascii="Times New Roman" w:eastAsia="Scotch" w:hAnsi="Times New Roman" w:cs="Times New Roman"/>
          <w:sz w:val="24"/>
          <w:szCs w:val="24"/>
        </w:rPr>
        <w:t>,</w:t>
      </w:r>
      <w:r w:rsidR="007C6674" w:rsidRPr="00C4795A">
        <w:rPr>
          <w:rFonts w:ascii="Times New Roman" w:eastAsia="Scotch" w:hAnsi="Times New Roman" w:cs="Times New Roman"/>
          <w:sz w:val="24"/>
          <w:szCs w:val="24"/>
        </w:rPr>
        <w:t xml:space="preserve"> l</w:t>
      </w:r>
      <w:r w:rsidR="008F5936" w:rsidRPr="00C4795A">
        <w:rPr>
          <w:rFonts w:ascii="Times New Roman" w:eastAsia="Scotch" w:hAnsi="Times New Roman" w:cs="Times New Roman"/>
          <w:sz w:val="24"/>
          <w:szCs w:val="24"/>
        </w:rPr>
        <w:t>’istanza di</w:t>
      </w:r>
      <w:r w:rsidR="007C6674" w:rsidRPr="00C4795A">
        <w:rPr>
          <w:rFonts w:ascii="Times New Roman" w:eastAsia="Scotch" w:hAnsi="Times New Roman" w:cs="Times New Roman"/>
          <w:sz w:val="24"/>
          <w:szCs w:val="24"/>
        </w:rPr>
        <w:t xml:space="preserve"> tutela oggettiva della legalità costituzionale, </w:t>
      </w:r>
      <w:r w:rsidR="00672B83" w:rsidRPr="00C4795A">
        <w:rPr>
          <w:rFonts w:ascii="Times New Roman" w:eastAsia="Scotch" w:hAnsi="Times New Roman" w:cs="Times New Roman"/>
          <w:sz w:val="24"/>
          <w:szCs w:val="24"/>
        </w:rPr>
        <w:t xml:space="preserve">ragione fondante </w:t>
      </w:r>
      <w:r w:rsidR="007C6674" w:rsidRPr="00C4795A">
        <w:rPr>
          <w:rFonts w:ascii="Times New Roman" w:eastAsia="Scotch" w:hAnsi="Times New Roman" w:cs="Times New Roman"/>
          <w:sz w:val="24"/>
          <w:szCs w:val="24"/>
        </w:rPr>
        <w:lastRenderedPageBreak/>
        <w:t xml:space="preserve">della </w:t>
      </w:r>
      <w:proofErr w:type="spellStart"/>
      <w:r w:rsidR="007C6674" w:rsidRPr="00C4795A">
        <w:rPr>
          <w:rFonts w:ascii="Times New Roman" w:eastAsia="Scotch" w:hAnsi="Times New Roman" w:cs="Times New Roman"/>
          <w:i/>
          <w:iCs/>
          <w:sz w:val="24"/>
          <w:szCs w:val="24"/>
        </w:rPr>
        <w:t>Verfassungsgericht</w:t>
      </w:r>
      <w:r w:rsidR="00312962" w:rsidRPr="00C4795A">
        <w:rPr>
          <w:rFonts w:ascii="Times New Roman" w:eastAsia="Scotch" w:hAnsi="Times New Roman" w:cs="Times New Roman"/>
          <w:i/>
          <w:iCs/>
          <w:sz w:val="24"/>
          <w:szCs w:val="24"/>
        </w:rPr>
        <w:t>s</w:t>
      </w:r>
      <w:r w:rsidR="007C6674" w:rsidRPr="00C4795A">
        <w:rPr>
          <w:rFonts w:ascii="Times New Roman" w:eastAsia="Scotch" w:hAnsi="Times New Roman" w:cs="Times New Roman"/>
          <w:i/>
          <w:iCs/>
          <w:sz w:val="24"/>
          <w:szCs w:val="24"/>
        </w:rPr>
        <w:t>barkeit</w:t>
      </w:r>
      <w:proofErr w:type="spellEnd"/>
      <w:r w:rsidR="007C6674" w:rsidRPr="00C4795A">
        <w:rPr>
          <w:rFonts w:ascii="Times New Roman" w:eastAsia="Scotch" w:hAnsi="Times New Roman" w:cs="Times New Roman"/>
          <w:sz w:val="24"/>
          <w:szCs w:val="24"/>
        </w:rPr>
        <w:t xml:space="preserve"> </w:t>
      </w:r>
      <w:proofErr w:type="spellStart"/>
      <w:r w:rsidR="007C6674" w:rsidRPr="00C4795A">
        <w:rPr>
          <w:rFonts w:ascii="Times New Roman" w:eastAsia="Scotch" w:hAnsi="Times New Roman" w:cs="Times New Roman"/>
          <w:sz w:val="24"/>
          <w:szCs w:val="24"/>
        </w:rPr>
        <w:t>kelseniana</w:t>
      </w:r>
      <w:proofErr w:type="spellEnd"/>
      <w:r w:rsidR="007C6674" w:rsidRPr="00C4795A">
        <w:rPr>
          <w:rFonts w:ascii="Times New Roman" w:eastAsia="Scotch" w:hAnsi="Times New Roman" w:cs="Times New Roman"/>
          <w:sz w:val="24"/>
          <w:szCs w:val="24"/>
        </w:rPr>
        <w:t xml:space="preserve">, possa </w:t>
      </w:r>
      <w:r w:rsidR="008F5936" w:rsidRPr="00C4795A">
        <w:rPr>
          <w:rFonts w:ascii="Times New Roman" w:eastAsia="Scotch" w:hAnsi="Times New Roman" w:cs="Times New Roman"/>
          <w:sz w:val="24"/>
          <w:szCs w:val="24"/>
        </w:rPr>
        <w:t xml:space="preserve">ancora plausibilmente motivare la compromissione della tutela soggettiva delle parti del processo </w:t>
      </w:r>
      <w:r w:rsidR="008F5936" w:rsidRPr="00C4795A">
        <w:rPr>
          <w:rFonts w:ascii="Times New Roman" w:eastAsia="Scotch" w:hAnsi="Times New Roman" w:cs="Times New Roman"/>
          <w:i/>
          <w:iCs/>
          <w:sz w:val="24"/>
          <w:szCs w:val="24"/>
        </w:rPr>
        <w:t>a quo.</w:t>
      </w:r>
    </w:p>
    <w:p w14:paraId="1F874DFD" w14:textId="2F988E3B" w:rsidR="00D75527" w:rsidRPr="00C4795A" w:rsidRDefault="00EC2155" w:rsidP="00FF3EEB">
      <w:pPr>
        <w:spacing w:after="0"/>
        <w:jc w:val="both"/>
        <w:rPr>
          <w:rFonts w:ascii="Times New Roman" w:eastAsia="Scotch" w:hAnsi="Times New Roman" w:cs="Times New Roman"/>
          <w:sz w:val="24"/>
          <w:szCs w:val="24"/>
        </w:rPr>
      </w:pPr>
      <w:r w:rsidRPr="00C4795A">
        <w:rPr>
          <w:rFonts w:ascii="Times New Roman" w:eastAsia="Scotch" w:hAnsi="Times New Roman" w:cs="Times New Roman"/>
          <w:sz w:val="24"/>
          <w:szCs w:val="24"/>
        </w:rPr>
        <w:t>L</w:t>
      </w:r>
      <w:r w:rsidR="00EE6ADE" w:rsidRPr="00C4795A">
        <w:rPr>
          <w:rFonts w:ascii="Times New Roman" w:eastAsia="Scotch" w:hAnsi="Times New Roman" w:cs="Times New Roman"/>
          <w:sz w:val="24"/>
          <w:szCs w:val="24"/>
        </w:rPr>
        <w:t>’urgenza di</w:t>
      </w:r>
      <w:r w:rsidR="00A46916" w:rsidRPr="00C4795A">
        <w:rPr>
          <w:rFonts w:ascii="Times New Roman" w:eastAsia="Scotch" w:hAnsi="Times New Roman" w:cs="Times New Roman"/>
          <w:sz w:val="24"/>
          <w:szCs w:val="24"/>
        </w:rPr>
        <w:t xml:space="preserve"> </w:t>
      </w:r>
      <w:r w:rsidR="00EE6ADE" w:rsidRPr="00C4795A">
        <w:rPr>
          <w:rFonts w:ascii="Times New Roman" w:eastAsia="Scotch" w:hAnsi="Times New Roman" w:cs="Times New Roman"/>
          <w:sz w:val="24"/>
          <w:szCs w:val="24"/>
        </w:rPr>
        <w:t>interroga</w:t>
      </w:r>
      <w:r w:rsidR="00A71E03" w:rsidRPr="00C4795A">
        <w:rPr>
          <w:rFonts w:ascii="Times New Roman" w:eastAsia="Scotch" w:hAnsi="Times New Roman" w:cs="Times New Roman"/>
          <w:sz w:val="24"/>
          <w:szCs w:val="24"/>
        </w:rPr>
        <w:t>rsi</w:t>
      </w:r>
      <w:r w:rsidR="00EE6ADE" w:rsidRPr="00C4795A">
        <w:rPr>
          <w:rFonts w:ascii="Times New Roman" w:eastAsia="Scotch" w:hAnsi="Times New Roman" w:cs="Times New Roman"/>
          <w:sz w:val="24"/>
          <w:szCs w:val="24"/>
        </w:rPr>
        <w:t xml:space="preserve"> e di escogitare soluzioni </w:t>
      </w:r>
      <w:r w:rsidR="003A4954" w:rsidRPr="00C4795A">
        <w:rPr>
          <w:rFonts w:ascii="Times New Roman" w:eastAsia="Scotch" w:hAnsi="Times New Roman" w:cs="Times New Roman"/>
          <w:sz w:val="24"/>
          <w:szCs w:val="24"/>
        </w:rPr>
        <w:t xml:space="preserve">che rendano possibile la convivenza fra rimedi </w:t>
      </w:r>
      <w:r w:rsidR="00EE6ADE" w:rsidRPr="00C4795A">
        <w:rPr>
          <w:rFonts w:ascii="Times New Roman" w:eastAsia="Scotch" w:hAnsi="Times New Roman" w:cs="Times New Roman"/>
          <w:sz w:val="24"/>
          <w:szCs w:val="24"/>
        </w:rPr>
        <w:t>sorge</w:t>
      </w:r>
      <w:r w:rsidR="00A71E03" w:rsidRPr="00C4795A">
        <w:rPr>
          <w:rFonts w:ascii="Times New Roman" w:eastAsia="Scotch" w:hAnsi="Times New Roman" w:cs="Times New Roman"/>
          <w:sz w:val="24"/>
          <w:szCs w:val="24"/>
        </w:rPr>
        <w:t xml:space="preserve">, nell’ottica del costituzionalista, </w:t>
      </w:r>
      <w:r w:rsidR="003A4954" w:rsidRPr="00C4795A">
        <w:rPr>
          <w:rFonts w:ascii="Times New Roman" w:eastAsia="Scotch" w:hAnsi="Times New Roman" w:cs="Times New Roman"/>
          <w:sz w:val="24"/>
          <w:szCs w:val="24"/>
        </w:rPr>
        <w:t>dalla constatazione che</w:t>
      </w:r>
      <w:r w:rsidR="00A71E03" w:rsidRPr="00C4795A">
        <w:rPr>
          <w:rFonts w:ascii="Times New Roman" w:eastAsia="Scotch" w:hAnsi="Times New Roman" w:cs="Times New Roman"/>
          <w:sz w:val="24"/>
          <w:szCs w:val="24"/>
        </w:rPr>
        <w:t xml:space="preserve"> </w:t>
      </w:r>
      <w:r w:rsidR="00EE6ADE" w:rsidRPr="00C4795A">
        <w:rPr>
          <w:rFonts w:ascii="Times New Roman" w:eastAsia="Scotch" w:hAnsi="Times New Roman" w:cs="Times New Roman"/>
          <w:sz w:val="24"/>
          <w:szCs w:val="24"/>
        </w:rPr>
        <w:t xml:space="preserve">l’attuale livello di integrazione fra sistemi porta a rinvenire la più ricca fonte di legittimazione politica del controllo di costituzionalità nella tutela dei diritti fondamentali, nella </w:t>
      </w:r>
      <w:proofErr w:type="spellStart"/>
      <w:r w:rsidR="00EE6ADE" w:rsidRPr="00C4795A">
        <w:rPr>
          <w:rFonts w:ascii="Times New Roman" w:eastAsia="Scotch" w:hAnsi="Times New Roman" w:cs="Times New Roman"/>
          <w:i/>
          <w:iCs/>
          <w:sz w:val="24"/>
          <w:szCs w:val="24"/>
        </w:rPr>
        <w:t>Grundrechtsgerichtsbarkeit</w:t>
      </w:r>
      <w:proofErr w:type="spellEnd"/>
      <w:r w:rsidR="00EE6ADE" w:rsidRPr="00C4795A">
        <w:rPr>
          <w:rFonts w:ascii="Times New Roman" w:eastAsia="Scotch" w:hAnsi="Times New Roman" w:cs="Times New Roman"/>
          <w:sz w:val="24"/>
          <w:szCs w:val="24"/>
        </w:rPr>
        <w:t>, collocandola su un piano di piena parità rispetto alla</w:t>
      </w:r>
      <w:r w:rsidR="003A4954" w:rsidRPr="00C4795A">
        <w:rPr>
          <w:rFonts w:ascii="Times New Roman" w:eastAsia="Scotch" w:hAnsi="Times New Roman" w:cs="Times New Roman"/>
          <w:sz w:val="24"/>
          <w:szCs w:val="24"/>
        </w:rPr>
        <w:t xml:space="preserve"> </w:t>
      </w:r>
      <w:r w:rsidR="003A4954" w:rsidRPr="00C4795A">
        <w:rPr>
          <w:rFonts w:ascii="Times New Roman" w:eastAsia="Scotch" w:hAnsi="Times New Roman" w:cs="Times New Roman"/>
          <w:i/>
          <w:iCs/>
          <w:sz w:val="24"/>
          <w:szCs w:val="24"/>
        </w:rPr>
        <w:t>ratio</w:t>
      </w:r>
      <w:r w:rsidR="003A4954" w:rsidRPr="00C4795A">
        <w:rPr>
          <w:rFonts w:ascii="Times New Roman" w:eastAsia="Scotch" w:hAnsi="Times New Roman" w:cs="Times New Roman"/>
          <w:sz w:val="24"/>
          <w:szCs w:val="24"/>
        </w:rPr>
        <w:t xml:space="preserve"> giustificativa della</w:t>
      </w:r>
      <w:r w:rsidR="00EE6ADE" w:rsidRPr="00C4795A">
        <w:rPr>
          <w:rFonts w:ascii="Times New Roman" w:eastAsia="Scotch" w:hAnsi="Times New Roman" w:cs="Times New Roman"/>
          <w:sz w:val="24"/>
          <w:szCs w:val="24"/>
        </w:rPr>
        <w:t xml:space="preserve"> </w:t>
      </w:r>
      <w:proofErr w:type="spellStart"/>
      <w:r w:rsidR="00EE6ADE" w:rsidRPr="00C4795A">
        <w:rPr>
          <w:rFonts w:ascii="Times New Roman" w:eastAsia="Scotch" w:hAnsi="Times New Roman" w:cs="Times New Roman"/>
          <w:i/>
          <w:iCs/>
          <w:sz w:val="24"/>
          <w:szCs w:val="24"/>
        </w:rPr>
        <w:t>Verfassungsgerichtsbarkeit</w:t>
      </w:r>
      <w:proofErr w:type="spellEnd"/>
      <w:r w:rsidR="00EE6ADE" w:rsidRPr="00C4795A">
        <w:rPr>
          <w:rFonts w:ascii="Times New Roman" w:eastAsia="Scotch" w:hAnsi="Times New Roman" w:cs="Times New Roman"/>
          <w:sz w:val="24"/>
          <w:szCs w:val="24"/>
        </w:rPr>
        <w:t xml:space="preserve"> cara a Kelsen. Alla luce di questo spostamento di asse, o meglio di questo riequilibrio fra le due matrici teoriche della giustizia costituzionale, è dubbio che il differimento della tutela della parte del giudizio </w:t>
      </w:r>
      <w:r w:rsidR="00EE6ADE" w:rsidRPr="00C4795A">
        <w:rPr>
          <w:rFonts w:ascii="Times New Roman" w:eastAsia="Scotch" w:hAnsi="Times New Roman" w:cs="Times New Roman"/>
          <w:i/>
          <w:iCs/>
          <w:sz w:val="24"/>
          <w:szCs w:val="24"/>
        </w:rPr>
        <w:t>a quo</w:t>
      </w:r>
      <w:r w:rsidR="00EE6ADE" w:rsidRPr="00C4795A">
        <w:rPr>
          <w:rFonts w:ascii="Times New Roman" w:eastAsia="Scotch" w:hAnsi="Times New Roman" w:cs="Times New Roman"/>
          <w:sz w:val="24"/>
          <w:szCs w:val="24"/>
        </w:rPr>
        <w:t xml:space="preserve"> sia coerente, oltre che con l’obbligo di non frapporre ostacoli all’immediata applicazione del diritto dell’Unione, anche</w:t>
      </w:r>
      <w:r w:rsidR="003F62E2" w:rsidRPr="00C4795A">
        <w:rPr>
          <w:rFonts w:ascii="Times New Roman" w:eastAsia="Scotch" w:hAnsi="Times New Roman" w:cs="Times New Roman"/>
          <w:sz w:val="24"/>
          <w:szCs w:val="24"/>
        </w:rPr>
        <w:t xml:space="preserve"> </w:t>
      </w:r>
      <w:r w:rsidR="00EE6ADE" w:rsidRPr="00C4795A">
        <w:rPr>
          <w:rFonts w:ascii="Times New Roman" w:eastAsia="Scotch" w:hAnsi="Times New Roman" w:cs="Times New Roman"/>
          <w:sz w:val="24"/>
          <w:szCs w:val="24"/>
        </w:rPr>
        <w:t>con la vocazione naturale della Corte costituzionale a porsi non sol</w:t>
      </w:r>
      <w:r w:rsidR="003F62E2" w:rsidRPr="00C4795A">
        <w:rPr>
          <w:rFonts w:ascii="Times New Roman" w:eastAsia="Scotch" w:hAnsi="Times New Roman" w:cs="Times New Roman"/>
          <w:sz w:val="24"/>
          <w:szCs w:val="24"/>
        </w:rPr>
        <w:t>tant</w:t>
      </w:r>
      <w:r w:rsidR="00EE6ADE" w:rsidRPr="00C4795A">
        <w:rPr>
          <w:rFonts w:ascii="Times New Roman" w:eastAsia="Scotch" w:hAnsi="Times New Roman" w:cs="Times New Roman"/>
          <w:sz w:val="24"/>
          <w:szCs w:val="24"/>
        </w:rPr>
        <w:t xml:space="preserve">o come giudice ‘delle leggi’ ma </w:t>
      </w:r>
      <w:r w:rsidR="003F62E2" w:rsidRPr="00C4795A">
        <w:rPr>
          <w:rFonts w:ascii="Times New Roman" w:eastAsia="Scotch" w:hAnsi="Times New Roman" w:cs="Times New Roman"/>
          <w:sz w:val="24"/>
          <w:szCs w:val="24"/>
        </w:rPr>
        <w:t xml:space="preserve">anche e </w:t>
      </w:r>
      <w:r w:rsidR="00EE6ADE" w:rsidRPr="00C4795A">
        <w:rPr>
          <w:rFonts w:ascii="Times New Roman" w:eastAsia="Scotch" w:hAnsi="Times New Roman" w:cs="Times New Roman"/>
          <w:sz w:val="24"/>
          <w:szCs w:val="24"/>
        </w:rPr>
        <w:t>più che mai – nel sistema integrato delle tutele sovranazionali – come ultimale giudice ‘dei diritti’.</w:t>
      </w:r>
    </w:p>
    <w:p w14:paraId="7E82CCC9" w14:textId="18294B04" w:rsidR="00900F9A" w:rsidRPr="00C4795A" w:rsidRDefault="003A4954" w:rsidP="00CA7B6A">
      <w:pPr>
        <w:spacing w:after="0"/>
        <w:jc w:val="both"/>
        <w:rPr>
          <w:rFonts w:ascii="Times New Roman" w:eastAsia="Times New Roman" w:hAnsi="Times New Roman" w:cs="Times New Roman"/>
          <w:kern w:val="0"/>
          <w:sz w:val="24"/>
          <w:szCs w:val="24"/>
          <w:lang w:eastAsia="it-IT"/>
          <w14:ligatures w14:val="none"/>
        </w:rPr>
      </w:pPr>
      <w:r w:rsidRPr="00C4795A">
        <w:rPr>
          <w:rFonts w:ascii="Times New Roman" w:eastAsia="Scotch" w:hAnsi="Times New Roman" w:cs="Times New Roman"/>
          <w:sz w:val="24"/>
          <w:szCs w:val="24"/>
        </w:rPr>
        <w:t xml:space="preserve">La convivenza tra rimedi giurisdizionali, che </w:t>
      </w:r>
      <w:r w:rsidR="003F62E2" w:rsidRPr="00C4795A">
        <w:rPr>
          <w:rFonts w:ascii="Times New Roman" w:eastAsia="Scotch" w:hAnsi="Times New Roman" w:cs="Times New Roman"/>
          <w:sz w:val="24"/>
          <w:szCs w:val="24"/>
        </w:rPr>
        <w:t xml:space="preserve">a </w:t>
      </w:r>
      <w:r w:rsidRPr="00C4795A">
        <w:rPr>
          <w:rFonts w:ascii="Times New Roman" w:eastAsia="Scotch" w:hAnsi="Times New Roman" w:cs="Times New Roman"/>
          <w:sz w:val="24"/>
          <w:szCs w:val="24"/>
        </w:rPr>
        <w:t xml:space="preserve">questa duplice vocazione </w:t>
      </w:r>
      <w:r w:rsidR="003F62E2" w:rsidRPr="00C4795A">
        <w:rPr>
          <w:rFonts w:ascii="Times New Roman" w:eastAsia="Scotch" w:hAnsi="Times New Roman" w:cs="Times New Roman"/>
          <w:sz w:val="24"/>
          <w:szCs w:val="24"/>
        </w:rPr>
        <w:t>corrisponde perfettamente</w:t>
      </w:r>
      <w:r w:rsidRPr="00C4795A">
        <w:rPr>
          <w:rFonts w:ascii="Times New Roman" w:eastAsia="Scotch" w:hAnsi="Times New Roman" w:cs="Times New Roman"/>
          <w:sz w:val="24"/>
          <w:szCs w:val="24"/>
        </w:rPr>
        <w:t xml:space="preserve">, è stata prospettata </w:t>
      </w:r>
      <w:r w:rsidRPr="00C4795A">
        <w:rPr>
          <w:rFonts w:ascii="Times New Roman" w:eastAsia="Times New Roman" w:hAnsi="Times New Roman" w:cs="Times New Roman"/>
          <w:kern w:val="0"/>
          <w:sz w:val="24"/>
          <w:szCs w:val="24"/>
          <w:lang w:eastAsia="it-IT"/>
          <w14:ligatures w14:val="none"/>
        </w:rPr>
        <w:t>a partire dalla sentenza n. 15 del 2024</w:t>
      </w:r>
      <w:r w:rsidRPr="00C4795A">
        <w:rPr>
          <w:rStyle w:val="Rimandonotaapidipagina"/>
          <w:rFonts w:ascii="Times New Roman" w:eastAsia="Times New Roman" w:hAnsi="Times New Roman" w:cs="Times New Roman"/>
          <w:kern w:val="0"/>
          <w:sz w:val="24"/>
          <w:szCs w:val="24"/>
          <w:lang w:eastAsia="it-IT"/>
          <w14:ligatures w14:val="none"/>
        </w:rPr>
        <w:footnoteReference w:id="83"/>
      </w:r>
      <w:r w:rsidRPr="00C4795A">
        <w:rPr>
          <w:rFonts w:ascii="Times New Roman" w:eastAsia="Times New Roman" w:hAnsi="Times New Roman" w:cs="Times New Roman"/>
          <w:kern w:val="0"/>
          <w:sz w:val="24"/>
          <w:szCs w:val="24"/>
          <w:lang w:eastAsia="it-IT"/>
          <w14:ligatures w14:val="none"/>
        </w:rPr>
        <w:t xml:space="preserve">. In quell’occasione la Consulta, con riguardo alla fattispecie del giudizio antidiscriminatorio, ha ritenuto ammissibile la questione sollevata dal giudice </w:t>
      </w:r>
      <w:r w:rsidRPr="00C4795A">
        <w:rPr>
          <w:rFonts w:ascii="Times New Roman" w:eastAsia="Times New Roman" w:hAnsi="Times New Roman" w:cs="Times New Roman"/>
          <w:i/>
          <w:iCs/>
          <w:kern w:val="0"/>
          <w:sz w:val="24"/>
          <w:szCs w:val="24"/>
          <w:lang w:eastAsia="it-IT"/>
          <w14:ligatures w14:val="none"/>
        </w:rPr>
        <w:t>a quo</w:t>
      </w:r>
      <w:r w:rsidRPr="00C4795A">
        <w:rPr>
          <w:rFonts w:ascii="Times New Roman" w:eastAsia="Times New Roman" w:hAnsi="Times New Roman" w:cs="Times New Roman"/>
          <w:kern w:val="0"/>
          <w:sz w:val="24"/>
          <w:szCs w:val="24"/>
          <w:lang w:eastAsia="it-IT"/>
          <w14:ligatures w14:val="none"/>
        </w:rPr>
        <w:t xml:space="preserve"> </w:t>
      </w:r>
      <w:r w:rsidR="003F62E2" w:rsidRPr="00C4795A">
        <w:rPr>
          <w:rFonts w:ascii="Times New Roman" w:eastAsia="Times New Roman" w:hAnsi="Times New Roman" w:cs="Times New Roman"/>
          <w:kern w:val="0"/>
          <w:sz w:val="24"/>
          <w:szCs w:val="24"/>
          <w:lang w:eastAsia="it-IT"/>
          <w14:ligatures w14:val="none"/>
        </w:rPr>
        <w:t xml:space="preserve">dopo aver </w:t>
      </w:r>
      <w:r w:rsidRPr="00C4795A">
        <w:rPr>
          <w:rFonts w:ascii="Times New Roman" w:eastAsia="Times New Roman" w:hAnsi="Times New Roman" w:cs="Times New Roman"/>
          <w:kern w:val="0"/>
          <w:sz w:val="24"/>
          <w:szCs w:val="24"/>
          <w:lang w:eastAsia="it-IT"/>
          <w14:ligatures w14:val="none"/>
        </w:rPr>
        <w:t>disapplica</w:t>
      </w:r>
      <w:r w:rsidR="003F62E2" w:rsidRPr="00C4795A">
        <w:rPr>
          <w:rFonts w:ascii="Times New Roman" w:eastAsia="Times New Roman" w:hAnsi="Times New Roman" w:cs="Times New Roman"/>
          <w:kern w:val="0"/>
          <w:sz w:val="24"/>
          <w:szCs w:val="24"/>
          <w:lang w:eastAsia="it-IT"/>
          <w14:ligatures w14:val="none"/>
        </w:rPr>
        <w:t>to</w:t>
      </w:r>
      <w:r w:rsidRPr="00C4795A">
        <w:rPr>
          <w:rFonts w:ascii="Times New Roman" w:eastAsia="Times New Roman" w:hAnsi="Times New Roman" w:cs="Times New Roman"/>
          <w:kern w:val="0"/>
          <w:sz w:val="24"/>
          <w:szCs w:val="24"/>
          <w:lang w:eastAsia="it-IT"/>
          <w14:ligatures w14:val="none"/>
        </w:rPr>
        <w:t xml:space="preserve"> la norma interna </w:t>
      </w:r>
      <w:r w:rsidR="003F62E2" w:rsidRPr="00C4795A">
        <w:rPr>
          <w:rFonts w:ascii="Times New Roman" w:eastAsia="Times New Roman" w:hAnsi="Times New Roman" w:cs="Times New Roman"/>
          <w:kern w:val="0"/>
          <w:sz w:val="24"/>
          <w:szCs w:val="24"/>
          <w:lang w:eastAsia="it-IT"/>
          <w14:ligatures w14:val="none"/>
        </w:rPr>
        <w:t xml:space="preserve">anti-unionale </w:t>
      </w:r>
      <w:r w:rsidRPr="00C4795A">
        <w:rPr>
          <w:rFonts w:ascii="Times New Roman" w:eastAsia="Times New Roman" w:hAnsi="Times New Roman" w:cs="Times New Roman"/>
          <w:kern w:val="0"/>
          <w:sz w:val="24"/>
          <w:szCs w:val="24"/>
          <w:lang w:eastAsia="it-IT"/>
          <w14:ligatures w14:val="none"/>
        </w:rPr>
        <w:t>sul presupposto che la disapplicazione offriva tutela al bene vita oggetto del giudizio principale</w:t>
      </w:r>
      <w:r w:rsidR="003F62E2" w:rsidRPr="00C4795A">
        <w:rPr>
          <w:rFonts w:ascii="Times New Roman" w:eastAsia="Times New Roman" w:hAnsi="Times New Roman" w:cs="Times New Roman"/>
          <w:kern w:val="0"/>
          <w:sz w:val="24"/>
          <w:szCs w:val="24"/>
          <w:lang w:eastAsia="it-IT"/>
          <w14:ligatures w14:val="none"/>
        </w:rPr>
        <w:t xml:space="preserve"> </w:t>
      </w:r>
      <w:r w:rsidRPr="00C4795A">
        <w:rPr>
          <w:rFonts w:ascii="Times New Roman" w:eastAsia="Times New Roman" w:hAnsi="Times New Roman" w:cs="Times New Roman"/>
          <w:kern w:val="0"/>
          <w:sz w:val="24"/>
          <w:szCs w:val="24"/>
          <w:lang w:eastAsia="it-IT"/>
          <w14:ligatures w14:val="none"/>
        </w:rPr>
        <w:t>mediante la condanna della pubblica amministrazione alla cessazione della condotta discriminatoria</w:t>
      </w:r>
      <w:r w:rsidR="003F62E2" w:rsidRPr="00C4795A">
        <w:rPr>
          <w:rFonts w:ascii="Times New Roman" w:eastAsia="Times New Roman" w:hAnsi="Times New Roman" w:cs="Times New Roman"/>
          <w:kern w:val="0"/>
          <w:sz w:val="24"/>
          <w:szCs w:val="24"/>
          <w:lang w:eastAsia="it-IT"/>
          <w14:ligatures w14:val="none"/>
        </w:rPr>
        <w:t>;</w:t>
      </w:r>
      <w:r w:rsidRPr="00C4795A">
        <w:rPr>
          <w:rFonts w:ascii="Times New Roman" w:eastAsia="Times New Roman" w:hAnsi="Times New Roman" w:cs="Times New Roman"/>
          <w:kern w:val="0"/>
          <w:sz w:val="24"/>
          <w:szCs w:val="24"/>
          <w:lang w:eastAsia="it-IT"/>
          <w14:ligatures w14:val="none"/>
        </w:rPr>
        <w:t xml:space="preserve"> mentre la questione di legittimità costituzionale </w:t>
      </w:r>
      <w:r w:rsidR="003F62E2" w:rsidRPr="00C4795A">
        <w:rPr>
          <w:rFonts w:ascii="Times New Roman" w:eastAsia="Times New Roman" w:hAnsi="Times New Roman" w:cs="Times New Roman"/>
          <w:kern w:val="0"/>
          <w:sz w:val="24"/>
          <w:szCs w:val="24"/>
          <w:lang w:eastAsia="it-IT"/>
          <w14:ligatures w14:val="none"/>
        </w:rPr>
        <w:t>risultava</w:t>
      </w:r>
      <w:r w:rsidRPr="00C4795A">
        <w:rPr>
          <w:rFonts w:ascii="Times New Roman" w:eastAsia="Times New Roman" w:hAnsi="Times New Roman" w:cs="Times New Roman"/>
          <w:kern w:val="0"/>
          <w:sz w:val="24"/>
          <w:szCs w:val="24"/>
          <w:lang w:eastAsia="it-IT"/>
          <w14:ligatures w14:val="none"/>
        </w:rPr>
        <w:t xml:space="preserve"> necessaria per rimuovere anche </w:t>
      </w:r>
      <w:r w:rsidRPr="00C4795A">
        <w:rPr>
          <w:rFonts w:ascii="Times New Roman" w:eastAsia="Times New Roman" w:hAnsi="Times New Roman" w:cs="Times New Roman"/>
          <w:i/>
          <w:iCs/>
          <w:kern w:val="0"/>
          <w:sz w:val="24"/>
          <w:szCs w:val="24"/>
          <w:lang w:eastAsia="it-IT"/>
          <w14:ligatures w14:val="none"/>
        </w:rPr>
        <w:t>pro futuro</w:t>
      </w:r>
      <w:r w:rsidRPr="00C4795A">
        <w:rPr>
          <w:rFonts w:ascii="Times New Roman" w:eastAsia="Times New Roman" w:hAnsi="Times New Roman" w:cs="Times New Roman"/>
          <w:kern w:val="0"/>
          <w:sz w:val="24"/>
          <w:szCs w:val="24"/>
          <w:lang w:eastAsia="it-IT"/>
          <w14:ligatures w14:val="none"/>
        </w:rPr>
        <w:t xml:space="preserve"> l’atto normativo su cui poggiava la discriminazione. </w:t>
      </w:r>
      <w:r w:rsidR="00FF350D" w:rsidRPr="00C4795A">
        <w:rPr>
          <w:rFonts w:ascii="Times New Roman" w:eastAsia="Times New Roman" w:hAnsi="Times New Roman" w:cs="Times New Roman"/>
          <w:kern w:val="0"/>
          <w:sz w:val="24"/>
          <w:szCs w:val="24"/>
          <w:lang w:eastAsia="it-IT"/>
          <w14:ligatures w14:val="none"/>
        </w:rPr>
        <w:t xml:space="preserve">È intuitivo che il </w:t>
      </w:r>
      <w:r w:rsidRPr="00C4795A">
        <w:rPr>
          <w:rFonts w:ascii="Times New Roman" w:eastAsia="Times New Roman" w:hAnsi="Times New Roman" w:cs="Times New Roman"/>
          <w:kern w:val="0"/>
          <w:sz w:val="24"/>
          <w:szCs w:val="24"/>
          <w:lang w:eastAsia="it-IT"/>
          <w14:ligatures w14:val="none"/>
        </w:rPr>
        <w:t>giudizio antidiscriminatorio si prest</w:t>
      </w:r>
      <w:r w:rsidR="00A71E03" w:rsidRPr="00C4795A">
        <w:rPr>
          <w:rFonts w:ascii="Times New Roman" w:eastAsia="Times New Roman" w:hAnsi="Times New Roman" w:cs="Times New Roman"/>
          <w:kern w:val="0"/>
          <w:sz w:val="24"/>
          <w:szCs w:val="24"/>
          <w:lang w:eastAsia="it-IT"/>
          <w14:ligatures w14:val="none"/>
        </w:rPr>
        <w:t>i</w:t>
      </w:r>
      <w:r w:rsidRPr="00C4795A">
        <w:rPr>
          <w:rFonts w:ascii="Times New Roman" w:eastAsia="Times New Roman" w:hAnsi="Times New Roman" w:cs="Times New Roman"/>
          <w:kern w:val="0"/>
          <w:sz w:val="24"/>
          <w:szCs w:val="24"/>
          <w:lang w:eastAsia="it-IT"/>
          <w14:ligatures w14:val="none"/>
        </w:rPr>
        <w:t xml:space="preserve"> particolarmente alla coabitazione dei rimedi</w:t>
      </w:r>
      <w:r w:rsidR="00900F9A" w:rsidRPr="00C4795A">
        <w:rPr>
          <w:rFonts w:ascii="Times New Roman" w:eastAsia="Times New Roman" w:hAnsi="Times New Roman" w:cs="Times New Roman"/>
          <w:kern w:val="0"/>
          <w:sz w:val="24"/>
          <w:szCs w:val="24"/>
          <w:lang w:eastAsia="it-IT"/>
          <w14:ligatures w14:val="none"/>
        </w:rPr>
        <w:t xml:space="preserve">, </w:t>
      </w:r>
      <w:r w:rsidRPr="00C4795A">
        <w:rPr>
          <w:rFonts w:ascii="Times New Roman" w:eastAsia="Times New Roman" w:hAnsi="Times New Roman" w:cs="Times New Roman"/>
          <w:kern w:val="0"/>
          <w:sz w:val="24"/>
          <w:szCs w:val="24"/>
          <w:lang w:eastAsia="it-IT"/>
          <w14:ligatures w14:val="none"/>
        </w:rPr>
        <w:t>perché in quel tipo di controversia la domanda giudiziale esprime la necessità di rimuovere stabilmente e con effetti generali il fattore di discriminazione</w:t>
      </w:r>
      <w:r w:rsidR="003F62E2" w:rsidRPr="00C4795A">
        <w:rPr>
          <w:rStyle w:val="Rimandonotaapidipagina"/>
          <w:rFonts w:ascii="Times New Roman" w:eastAsia="Times New Roman" w:hAnsi="Times New Roman" w:cs="Times New Roman"/>
          <w:kern w:val="0"/>
          <w:sz w:val="24"/>
          <w:szCs w:val="24"/>
          <w:lang w:eastAsia="it-IT"/>
          <w14:ligatures w14:val="none"/>
        </w:rPr>
        <w:footnoteReference w:id="84"/>
      </w:r>
      <w:r w:rsidR="00900F9A" w:rsidRPr="00C4795A">
        <w:rPr>
          <w:rFonts w:ascii="Times New Roman" w:eastAsia="Times New Roman" w:hAnsi="Times New Roman" w:cs="Times New Roman"/>
          <w:kern w:val="0"/>
          <w:sz w:val="24"/>
          <w:szCs w:val="24"/>
          <w:lang w:eastAsia="it-IT"/>
          <w14:ligatures w14:val="none"/>
        </w:rPr>
        <w:t>.</w:t>
      </w:r>
      <w:r w:rsidRPr="00C4795A">
        <w:rPr>
          <w:rFonts w:ascii="Times New Roman" w:eastAsia="Times New Roman" w:hAnsi="Times New Roman" w:cs="Times New Roman"/>
          <w:kern w:val="0"/>
          <w:sz w:val="24"/>
          <w:szCs w:val="24"/>
          <w:lang w:eastAsia="it-IT"/>
          <w14:ligatures w14:val="none"/>
        </w:rPr>
        <w:t xml:space="preserve"> </w:t>
      </w:r>
      <w:r w:rsidR="00CA7B6A" w:rsidRPr="00C4795A">
        <w:rPr>
          <w:rFonts w:ascii="Times New Roman" w:eastAsia="Times New Roman" w:hAnsi="Times New Roman" w:cs="Times New Roman"/>
          <w:kern w:val="0"/>
          <w:sz w:val="24"/>
          <w:szCs w:val="24"/>
          <w:lang w:eastAsia="it-IT"/>
          <w14:ligatures w14:val="none"/>
        </w:rPr>
        <w:t>A</w:t>
      </w:r>
      <w:r w:rsidR="00900F9A" w:rsidRPr="00C4795A">
        <w:rPr>
          <w:rFonts w:ascii="Times New Roman" w:eastAsia="Times New Roman" w:hAnsi="Times New Roman" w:cs="Times New Roman"/>
          <w:kern w:val="0"/>
          <w:sz w:val="24"/>
          <w:szCs w:val="24"/>
          <w:lang w:eastAsia="it-IT"/>
          <w14:ligatures w14:val="none"/>
        </w:rPr>
        <w:t>ndrebbe</w:t>
      </w:r>
      <w:r w:rsidR="00CA7B6A" w:rsidRPr="00C4795A">
        <w:rPr>
          <w:rFonts w:ascii="Times New Roman" w:eastAsia="Times New Roman" w:hAnsi="Times New Roman" w:cs="Times New Roman"/>
          <w:kern w:val="0"/>
          <w:sz w:val="24"/>
          <w:szCs w:val="24"/>
          <w:lang w:eastAsia="it-IT"/>
          <w14:ligatures w14:val="none"/>
        </w:rPr>
        <w:t xml:space="preserve"> però</w:t>
      </w:r>
      <w:r w:rsidR="007704AD" w:rsidRPr="00C4795A">
        <w:rPr>
          <w:rFonts w:ascii="Times New Roman" w:eastAsia="Times New Roman" w:hAnsi="Times New Roman" w:cs="Times New Roman"/>
          <w:kern w:val="0"/>
          <w:sz w:val="24"/>
          <w:szCs w:val="24"/>
          <w:lang w:eastAsia="it-IT"/>
          <w14:ligatures w14:val="none"/>
        </w:rPr>
        <w:t xml:space="preserve"> valutata</w:t>
      </w:r>
      <w:r w:rsidR="00900F9A" w:rsidRPr="00C4795A">
        <w:rPr>
          <w:rFonts w:ascii="Times New Roman" w:eastAsia="Times New Roman" w:hAnsi="Times New Roman" w:cs="Times New Roman"/>
          <w:kern w:val="0"/>
          <w:sz w:val="24"/>
          <w:szCs w:val="24"/>
          <w:lang w:eastAsia="it-IT"/>
          <w14:ligatures w14:val="none"/>
        </w:rPr>
        <w:t xml:space="preserve"> l’</w:t>
      </w:r>
      <w:r w:rsidR="003F62E2" w:rsidRPr="00C4795A">
        <w:rPr>
          <w:rFonts w:ascii="Times New Roman" w:eastAsia="Times New Roman" w:hAnsi="Times New Roman" w:cs="Times New Roman"/>
          <w:kern w:val="0"/>
          <w:sz w:val="24"/>
          <w:szCs w:val="24"/>
          <w:lang w:eastAsia="it-IT"/>
          <w14:ligatures w14:val="none"/>
        </w:rPr>
        <w:t xml:space="preserve">opportunità </w:t>
      </w:r>
      <w:r w:rsidR="00900F9A" w:rsidRPr="00C4795A">
        <w:rPr>
          <w:rFonts w:ascii="Times New Roman" w:eastAsia="Times New Roman" w:hAnsi="Times New Roman" w:cs="Times New Roman"/>
          <w:kern w:val="0"/>
          <w:sz w:val="24"/>
          <w:szCs w:val="24"/>
          <w:lang w:eastAsia="it-IT"/>
          <w14:ligatures w14:val="none"/>
        </w:rPr>
        <w:t>di favorire la simultaneità dei rimedi anche ‘oltre’ il giudizio antidiscriminatorio, se del caso attraverso un’interpretazione dilatata dell</w:t>
      </w:r>
      <w:r w:rsidR="000E39B0" w:rsidRPr="00C4795A">
        <w:rPr>
          <w:rFonts w:ascii="Times New Roman" w:eastAsia="Times New Roman" w:hAnsi="Times New Roman" w:cs="Times New Roman"/>
          <w:kern w:val="0"/>
          <w:sz w:val="24"/>
          <w:szCs w:val="24"/>
          <w:lang w:eastAsia="it-IT"/>
          <w14:ligatures w14:val="none"/>
        </w:rPr>
        <w:t>’incidentalità</w:t>
      </w:r>
      <w:r w:rsidR="00900F9A" w:rsidRPr="00C4795A">
        <w:rPr>
          <w:rFonts w:ascii="Times New Roman" w:eastAsia="Times New Roman" w:hAnsi="Times New Roman" w:cs="Times New Roman"/>
          <w:kern w:val="0"/>
          <w:sz w:val="24"/>
          <w:szCs w:val="24"/>
          <w:lang w:eastAsia="it-IT"/>
          <w14:ligatures w14:val="none"/>
        </w:rPr>
        <w:t>,</w:t>
      </w:r>
      <w:r w:rsidR="00302DF4" w:rsidRPr="00C4795A">
        <w:rPr>
          <w:rFonts w:ascii="Times New Roman" w:eastAsia="Times New Roman" w:hAnsi="Times New Roman" w:cs="Times New Roman"/>
          <w:kern w:val="0"/>
          <w:sz w:val="24"/>
          <w:szCs w:val="24"/>
          <w:lang w:eastAsia="it-IT"/>
          <w14:ligatures w14:val="none"/>
        </w:rPr>
        <w:t xml:space="preserve"> </w:t>
      </w:r>
      <w:r w:rsidR="00900F9A" w:rsidRPr="00C4795A">
        <w:rPr>
          <w:rFonts w:ascii="Times New Roman" w:eastAsia="Times New Roman" w:hAnsi="Times New Roman" w:cs="Times New Roman"/>
          <w:kern w:val="0"/>
          <w:sz w:val="24"/>
          <w:szCs w:val="24"/>
          <w:lang w:eastAsia="it-IT"/>
          <w14:ligatures w14:val="none"/>
        </w:rPr>
        <w:t>almeno in tutte le ipotesi in cui difetti la possibilità di ricorso alla tutela cautelare e non vi sia</w:t>
      </w:r>
      <w:r w:rsidR="00FD4828" w:rsidRPr="00C4795A">
        <w:rPr>
          <w:rFonts w:ascii="Times New Roman" w:eastAsia="Times New Roman" w:hAnsi="Times New Roman" w:cs="Times New Roman"/>
          <w:kern w:val="0"/>
          <w:sz w:val="24"/>
          <w:szCs w:val="24"/>
          <w:lang w:eastAsia="it-IT"/>
          <w14:ligatures w14:val="none"/>
        </w:rPr>
        <w:t>,</w:t>
      </w:r>
      <w:r w:rsidR="00900F9A" w:rsidRPr="00C4795A">
        <w:rPr>
          <w:rFonts w:ascii="Times New Roman" w:eastAsia="Times New Roman" w:hAnsi="Times New Roman" w:cs="Times New Roman"/>
          <w:kern w:val="0"/>
          <w:sz w:val="24"/>
          <w:szCs w:val="24"/>
          <w:lang w:eastAsia="it-IT"/>
          <w14:ligatures w14:val="none"/>
        </w:rPr>
        <w:t xml:space="preserve"> dunque</w:t>
      </w:r>
      <w:r w:rsidR="00FD4828" w:rsidRPr="00C4795A">
        <w:rPr>
          <w:rFonts w:ascii="Times New Roman" w:eastAsia="Times New Roman" w:hAnsi="Times New Roman" w:cs="Times New Roman"/>
          <w:kern w:val="0"/>
          <w:sz w:val="24"/>
          <w:szCs w:val="24"/>
          <w:lang w:eastAsia="it-IT"/>
          <w14:ligatures w14:val="none"/>
        </w:rPr>
        <w:t>,</w:t>
      </w:r>
      <w:r w:rsidR="00900F9A" w:rsidRPr="00C4795A">
        <w:rPr>
          <w:rFonts w:ascii="Times New Roman" w:eastAsia="Times New Roman" w:hAnsi="Times New Roman" w:cs="Times New Roman"/>
          <w:kern w:val="0"/>
          <w:sz w:val="24"/>
          <w:szCs w:val="24"/>
          <w:lang w:eastAsia="it-IT"/>
          <w14:ligatures w14:val="none"/>
        </w:rPr>
        <w:t xml:space="preserve"> modo di corrispondere all’esigenza di dare piena e immediata attuazione al diritto dell</w:t>
      </w:r>
      <w:r w:rsidR="00FF3EEB" w:rsidRPr="00C4795A">
        <w:rPr>
          <w:rFonts w:ascii="Times New Roman" w:eastAsia="Times New Roman" w:hAnsi="Times New Roman" w:cs="Times New Roman"/>
          <w:kern w:val="0"/>
          <w:sz w:val="24"/>
          <w:szCs w:val="24"/>
          <w:lang w:eastAsia="it-IT"/>
          <w14:ligatures w14:val="none"/>
        </w:rPr>
        <w:t>’</w:t>
      </w:r>
      <w:r w:rsidR="00900F9A" w:rsidRPr="00C4795A">
        <w:rPr>
          <w:rFonts w:ascii="Times New Roman" w:eastAsia="Times New Roman" w:hAnsi="Times New Roman" w:cs="Times New Roman"/>
          <w:kern w:val="0"/>
          <w:sz w:val="24"/>
          <w:szCs w:val="24"/>
          <w:lang w:eastAsia="it-IT"/>
          <w14:ligatures w14:val="none"/>
        </w:rPr>
        <w:t xml:space="preserve">Unione europea e contestualmente di attivare lo scrutinio costituzionale a garanzia della certezza e della tutela </w:t>
      </w:r>
      <w:r w:rsidR="00900F9A" w:rsidRPr="00C4795A">
        <w:rPr>
          <w:rFonts w:ascii="Times New Roman" w:eastAsia="Times New Roman" w:hAnsi="Times New Roman" w:cs="Times New Roman"/>
          <w:i/>
          <w:iCs/>
          <w:kern w:val="0"/>
          <w:sz w:val="24"/>
          <w:szCs w:val="24"/>
          <w:lang w:eastAsia="it-IT"/>
          <w14:ligatures w14:val="none"/>
        </w:rPr>
        <w:t>erga omnes</w:t>
      </w:r>
      <w:r w:rsidR="00900F9A" w:rsidRPr="00C4795A">
        <w:rPr>
          <w:rFonts w:ascii="Times New Roman" w:eastAsia="Times New Roman" w:hAnsi="Times New Roman" w:cs="Times New Roman"/>
          <w:kern w:val="0"/>
          <w:sz w:val="24"/>
          <w:szCs w:val="24"/>
          <w:lang w:eastAsia="it-IT"/>
          <w14:ligatures w14:val="none"/>
        </w:rPr>
        <w:t xml:space="preserve"> dei diritti fondamentali.</w:t>
      </w:r>
    </w:p>
    <w:p w14:paraId="541C71C2" w14:textId="137B6321" w:rsidR="00D770CB" w:rsidRPr="00C4795A" w:rsidRDefault="00D770CB" w:rsidP="00FF3EEB">
      <w:pPr>
        <w:spacing w:after="0"/>
        <w:jc w:val="both"/>
        <w:rPr>
          <w:rFonts w:ascii="Times New Roman" w:eastAsia="Scotch" w:hAnsi="Times New Roman" w:cs="Times New Roman"/>
          <w:sz w:val="24"/>
          <w:szCs w:val="24"/>
        </w:rPr>
      </w:pPr>
      <w:r w:rsidRPr="00C4795A">
        <w:rPr>
          <w:rFonts w:ascii="Times New Roman" w:eastAsia="Times New Roman" w:hAnsi="Times New Roman" w:cs="Times New Roman"/>
          <w:kern w:val="0"/>
          <w:sz w:val="24"/>
          <w:szCs w:val="24"/>
          <w:lang w:eastAsia="it-IT"/>
          <w14:ligatures w14:val="none"/>
        </w:rPr>
        <w:t xml:space="preserve">Il caso più </w:t>
      </w:r>
      <w:r w:rsidR="000E39B0" w:rsidRPr="00C4795A">
        <w:rPr>
          <w:rFonts w:ascii="Times New Roman" w:eastAsia="Times New Roman" w:hAnsi="Times New Roman" w:cs="Times New Roman"/>
          <w:kern w:val="0"/>
          <w:sz w:val="24"/>
          <w:szCs w:val="24"/>
          <w:lang w:eastAsia="it-IT"/>
          <w14:ligatures w14:val="none"/>
        </w:rPr>
        <w:t>spinoso</w:t>
      </w:r>
      <w:r w:rsidRPr="00C4795A">
        <w:rPr>
          <w:rFonts w:ascii="Times New Roman" w:eastAsia="Times New Roman" w:hAnsi="Times New Roman" w:cs="Times New Roman"/>
          <w:kern w:val="0"/>
          <w:sz w:val="24"/>
          <w:szCs w:val="24"/>
          <w:lang w:eastAsia="it-IT"/>
          <w14:ligatures w14:val="none"/>
        </w:rPr>
        <w:t>, e a carattere generale, è quello del giudizio in Cassazione. Difetta, in tale sede, la possibilità di esercizio della tutela cautelare, e perciò, pur quando un consolidato orientamento interpretativo della Corte costituzionale</w:t>
      </w:r>
      <w:r w:rsidR="003F62E2" w:rsidRPr="00C4795A">
        <w:rPr>
          <w:rFonts w:ascii="Times New Roman" w:eastAsia="Times New Roman" w:hAnsi="Times New Roman" w:cs="Times New Roman"/>
          <w:kern w:val="0"/>
          <w:sz w:val="24"/>
          <w:szCs w:val="24"/>
          <w:lang w:eastAsia="it-IT"/>
          <w14:ligatures w14:val="none"/>
        </w:rPr>
        <w:t xml:space="preserve"> </w:t>
      </w:r>
      <w:r w:rsidR="00475CE6" w:rsidRPr="00C4795A">
        <w:rPr>
          <w:rFonts w:ascii="Times New Roman" w:eastAsia="Times New Roman" w:hAnsi="Times New Roman" w:cs="Times New Roman"/>
          <w:kern w:val="0"/>
          <w:sz w:val="24"/>
          <w:szCs w:val="24"/>
          <w:lang w:eastAsia="it-IT"/>
          <w14:ligatures w14:val="none"/>
        </w:rPr>
        <w:t xml:space="preserve">e del diritto dell’Unione evidenzi in modo manifesto il contrasto con una norma interna; pur quando </w:t>
      </w:r>
      <w:r w:rsidR="003F62E2" w:rsidRPr="00C4795A">
        <w:rPr>
          <w:rFonts w:ascii="Times New Roman" w:eastAsia="Times New Roman" w:hAnsi="Times New Roman" w:cs="Times New Roman"/>
          <w:kern w:val="0"/>
          <w:sz w:val="24"/>
          <w:szCs w:val="24"/>
          <w:lang w:eastAsia="it-IT"/>
          <w14:ligatures w14:val="none"/>
        </w:rPr>
        <w:t>vi sia</w:t>
      </w:r>
      <w:r w:rsidR="00475CE6" w:rsidRPr="00C4795A">
        <w:rPr>
          <w:rFonts w:ascii="Times New Roman" w:eastAsia="Times New Roman" w:hAnsi="Times New Roman" w:cs="Times New Roman"/>
          <w:kern w:val="0"/>
          <w:sz w:val="24"/>
          <w:szCs w:val="24"/>
          <w:lang w:eastAsia="it-IT"/>
          <w14:ligatures w14:val="none"/>
        </w:rPr>
        <w:t>,</w:t>
      </w:r>
      <w:r w:rsidR="003F62E2" w:rsidRPr="00C4795A">
        <w:rPr>
          <w:rFonts w:ascii="Times New Roman" w:eastAsia="Times New Roman" w:hAnsi="Times New Roman" w:cs="Times New Roman"/>
          <w:kern w:val="0"/>
          <w:sz w:val="24"/>
          <w:szCs w:val="24"/>
          <w:lang w:eastAsia="it-IT"/>
          <w14:ligatures w14:val="none"/>
        </w:rPr>
        <w:t xml:space="preserve"> </w:t>
      </w:r>
      <w:r w:rsidR="00475CE6" w:rsidRPr="00C4795A">
        <w:rPr>
          <w:rFonts w:ascii="Times New Roman" w:eastAsia="Times New Roman" w:hAnsi="Times New Roman" w:cs="Times New Roman"/>
          <w:kern w:val="0"/>
          <w:sz w:val="24"/>
          <w:szCs w:val="24"/>
          <w:lang w:eastAsia="it-IT"/>
          <w14:ligatures w14:val="none"/>
        </w:rPr>
        <w:t xml:space="preserve">dunque, </w:t>
      </w:r>
      <w:r w:rsidR="003F62E2" w:rsidRPr="00C4795A">
        <w:rPr>
          <w:rFonts w:ascii="Times New Roman" w:eastAsia="Times New Roman" w:hAnsi="Times New Roman" w:cs="Times New Roman"/>
          <w:kern w:val="0"/>
          <w:sz w:val="24"/>
          <w:szCs w:val="24"/>
          <w:lang w:eastAsia="it-IT"/>
          <w14:ligatures w14:val="none"/>
        </w:rPr>
        <w:t xml:space="preserve">ogni ragionevole certezza che </w:t>
      </w:r>
      <w:r w:rsidR="00475CE6" w:rsidRPr="00C4795A">
        <w:rPr>
          <w:rFonts w:ascii="Times New Roman" w:eastAsia="Times New Roman" w:hAnsi="Times New Roman" w:cs="Times New Roman"/>
          <w:kern w:val="0"/>
          <w:sz w:val="24"/>
          <w:szCs w:val="24"/>
          <w:lang w:eastAsia="it-IT"/>
          <w14:ligatures w14:val="none"/>
        </w:rPr>
        <w:t xml:space="preserve">una questione di costituzionalità </w:t>
      </w:r>
      <w:r w:rsidR="003F62E2" w:rsidRPr="00C4795A">
        <w:rPr>
          <w:rFonts w:ascii="Times New Roman" w:eastAsia="Times New Roman" w:hAnsi="Times New Roman" w:cs="Times New Roman"/>
          <w:kern w:val="0"/>
          <w:sz w:val="24"/>
          <w:szCs w:val="24"/>
          <w:lang w:eastAsia="it-IT"/>
          <w14:ligatures w14:val="none"/>
        </w:rPr>
        <w:t>s</w:t>
      </w:r>
      <w:r w:rsidR="00475CE6" w:rsidRPr="00C4795A">
        <w:rPr>
          <w:rFonts w:ascii="Times New Roman" w:eastAsia="Times New Roman" w:hAnsi="Times New Roman" w:cs="Times New Roman"/>
          <w:kern w:val="0"/>
          <w:sz w:val="24"/>
          <w:szCs w:val="24"/>
          <w:lang w:eastAsia="it-IT"/>
          <w14:ligatures w14:val="none"/>
        </w:rPr>
        <w:t xml:space="preserve">arebbe risolta con un </w:t>
      </w:r>
      <w:r w:rsidR="003F62E2" w:rsidRPr="00C4795A">
        <w:rPr>
          <w:rFonts w:ascii="Times New Roman" w:eastAsia="Times New Roman" w:hAnsi="Times New Roman" w:cs="Times New Roman"/>
          <w:kern w:val="0"/>
          <w:sz w:val="24"/>
          <w:szCs w:val="24"/>
          <w:lang w:eastAsia="it-IT"/>
          <w14:ligatures w14:val="none"/>
        </w:rPr>
        <w:t>accoglimento</w:t>
      </w:r>
      <w:r w:rsidR="00475CE6" w:rsidRPr="00C4795A">
        <w:rPr>
          <w:rFonts w:ascii="Times New Roman" w:eastAsia="Times New Roman" w:hAnsi="Times New Roman" w:cs="Times New Roman"/>
          <w:kern w:val="0"/>
          <w:sz w:val="24"/>
          <w:szCs w:val="24"/>
          <w:lang w:eastAsia="it-IT"/>
          <w14:ligatures w14:val="none"/>
        </w:rPr>
        <w:t xml:space="preserve">, il giudice della legittimità potrebbe astenersi dal sollevare la </w:t>
      </w:r>
      <w:r w:rsidR="00475CE6" w:rsidRPr="00C4795A">
        <w:rPr>
          <w:rFonts w:ascii="Times New Roman" w:eastAsia="Times New Roman" w:hAnsi="Times New Roman" w:cs="Times New Roman"/>
          <w:i/>
          <w:iCs/>
          <w:kern w:val="0"/>
          <w:sz w:val="24"/>
          <w:szCs w:val="24"/>
          <w:lang w:eastAsia="it-IT"/>
          <w14:ligatures w14:val="none"/>
        </w:rPr>
        <w:t>quaestio</w:t>
      </w:r>
      <w:r w:rsidR="00475CE6" w:rsidRPr="00C4795A">
        <w:rPr>
          <w:rFonts w:ascii="Times New Roman" w:eastAsia="Times New Roman" w:hAnsi="Times New Roman" w:cs="Times New Roman"/>
          <w:kern w:val="0"/>
          <w:sz w:val="24"/>
          <w:szCs w:val="24"/>
          <w:lang w:eastAsia="it-IT"/>
          <w14:ligatures w14:val="none"/>
        </w:rPr>
        <w:t xml:space="preserve">, avendo disponibile il rimedio immediato della disapplicazione, per timore di andare in </w:t>
      </w:r>
      <w:r w:rsidRPr="00C4795A">
        <w:rPr>
          <w:rFonts w:ascii="Times New Roman" w:eastAsia="Scotch" w:hAnsi="Times New Roman" w:cs="Times New Roman"/>
          <w:sz w:val="24"/>
          <w:szCs w:val="24"/>
        </w:rPr>
        <w:t xml:space="preserve">contrasto frontale con la consolidata </w:t>
      </w:r>
      <w:r w:rsidR="00475CE6" w:rsidRPr="00C4795A">
        <w:rPr>
          <w:rFonts w:ascii="Times New Roman" w:eastAsia="Scotch" w:hAnsi="Times New Roman" w:cs="Times New Roman"/>
          <w:sz w:val="24"/>
          <w:szCs w:val="24"/>
        </w:rPr>
        <w:t xml:space="preserve">e sopra richiamata </w:t>
      </w:r>
      <w:r w:rsidRPr="00C4795A">
        <w:rPr>
          <w:rFonts w:ascii="Times New Roman" w:eastAsia="Scotch" w:hAnsi="Times New Roman" w:cs="Times New Roman"/>
          <w:sz w:val="24"/>
          <w:szCs w:val="24"/>
        </w:rPr>
        <w:t>giurisprudenza della Corte di giustizia</w:t>
      </w:r>
      <w:r w:rsidR="00FF3EEB" w:rsidRPr="00C4795A">
        <w:rPr>
          <w:rStyle w:val="Rimandonotaapidipagina"/>
          <w:rFonts w:ascii="Times New Roman" w:eastAsia="Scotch" w:hAnsi="Times New Roman" w:cs="Times New Roman"/>
          <w:sz w:val="24"/>
          <w:szCs w:val="24"/>
        </w:rPr>
        <w:footnoteReference w:id="85"/>
      </w:r>
      <w:r w:rsidR="00FF3EEB" w:rsidRPr="00C4795A">
        <w:rPr>
          <w:rFonts w:ascii="Times New Roman" w:eastAsia="Scotch" w:hAnsi="Times New Roman" w:cs="Times New Roman"/>
          <w:sz w:val="24"/>
          <w:szCs w:val="24"/>
        </w:rPr>
        <w:t>.</w:t>
      </w:r>
      <w:r w:rsidRPr="00C4795A">
        <w:rPr>
          <w:rFonts w:ascii="Times New Roman" w:eastAsia="Scotch" w:hAnsi="Times New Roman" w:cs="Times New Roman"/>
          <w:sz w:val="24"/>
          <w:szCs w:val="24"/>
        </w:rPr>
        <w:t xml:space="preserve"> </w:t>
      </w:r>
    </w:p>
    <w:p w14:paraId="635D52C1" w14:textId="77777777" w:rsidR="008A0A86" w:rsidRPr="00C4795A" w:rsidRDefault="00430A87" w:rsidP="00FF3EEB">
      <w:pPr>
        <w:spacing w:after="0"/>
        <w:jc w:val="both"/>
        <w:rPr>
          <w:rFonts w:ascii="Times New Roman" w:eastAsia="Scotch" w:hAnsi="Times New Roman" w:cs="Times New Roman"/>
          <w:sz w:val="24"/>
          <w:szCs w:val="24"/>
        </w:rPr>
      </w:pPr>
      <w:r w:rsidRPr="00C4795A">
        <w:rPr>
          <w:rFonts w:ascii="Times New Roman" w:eastAsia="Scotch" w:hAnsi="Times New Roman" w:cs="Times New Roman"/>
          <w:sz w:val="24"/>
          <w:szCs w:val="24"/>
        </w:rPr>
        <w:t>C</w:t>
      </w:r>
      <w:r w:rsidR="00475CE6" w:rsidRPr="00C4795A">
        <w:rPr>
          <w:rFonts w:ascii="Times New Roman" w:eastAsia="Scotch" w:hAnsi="Times New Roman" w:cs="Times New Roman"/>
          <w:sz w:val="24"/>
          <w:szCs w:val="24"/>
        </w:rPr>
        <w:t>ome in passato la Consulta ha fatto prevalere su un’interpretazione rigorosa e formalista dell</w:t>
      </w:r>
      <w:r w:rsidR="000E39B0" w:rsidRPr="00C4795A">
        <w:rPr>
          <w:rFonts w:ascii="Times New Roman" w:eastAsia="Scotch" w:hAnsi="Times New Roman" w:cs="Times New Roman"/>
          <w:sz w:val="24"/>
          <w:szCs w:val="24"/>
        </w:rPr>
        <w:t>’incidentalità</w:t>
      </w:r>
      <w:r w:rsidR="00475CE6" w:rsidRPr="00C4795A">
        <w:rPr>
          <w:rFonts w:ascii="Times New Roman" w:eastAsia="Scotch" w:hAnsi="Times New Roman" w:cs="Times New Roman"/>
          <w:sz w:val="24"/>
          <w:szCs w:val="24"/>
        </w:rPr>
        <w:t xml:space="preserve"> la necessità di attrarre al proprio scrutinio</w:t>
      </w:r>
      <w:r w:rsidR="000E39B0" w:rsidRPr="00C4795A">
        <w:rPr>
          <w:rFonts w:ascii="Times New Roman" w:eastAsia="Scotch" w:hAnsi="Times New Roman" w:cs="Times New Roman"/>
          <w:sz w:val="24"/>
          <w:szCs w:val="24"/>
        </w:rPr>
        <w:t xml:space="preserve"> leggi che non avrebbero</w:t>
      </w:r>
      <w:r w:rsidR="00475CE6" w:rsidRPr="00C4795A">
        <w:rPr>
          <w:rFonts w:ascii="Times New Roman" w:eastAsia="Scotch" w:hAnsi="Times New Roman" w:cs="Times New Roman"/>
          <w:sz w:val="24"/>
          <w:szCs w:val="24"/>
        </w:rPr>
        <w:t xml:space="preserve"> altrimenti potuto </w:t>
      </w:r>
      <w:r w:rsidR="00475CE6" w:rsidRPr="00C4795A">
        <w:rPr>
          <w:rFonts w:ascii="Times New Roman" w:eastAsia="Scotch" w:hAnsi="Times New Roman" w:cs="Times New Roman"/>
          <w:sz w:val="24"/>
          <w:szCs w:val="24"/>
        </w:rPr>
        <w:lastRenderedPageBreak/>
        <w:t>giungervi</w:t>
      </w:r>
      <w:r w:rsidR="00475CE6" w:rsidRPr="00C4795A">
        <w:rPr>
          <w:rStyle w:val="Rimandonotaapidipagina"/>
          <w:rFonts w:ascii="Times New Roman" w:eastAsia="Scotch" w:hAnsi="Times New Roman" w:cs="Times New Roman"/>
          <w:sz w:val="24"/>
          <w:szCs w:val="24"/>
        </w:rPr>
        <w:footnoteReference w:id="86"/>
      </w:r>
      <w:r w:rsidR="00475CE6" w:rsidRPr="00C4795A">
        <w:rPr>
          <w:rFonts w:ascii="Times New Roman" w:eastAsia="Scotch" w:hAnsi="Times New Roman" w:cs="Times New Roman"/>
          <w:sz w:val="24"/>
          <w:szCs w:val="24"/>
        </w:rPr>
        <w:t>; </w:t>
      </w:r>
      <w:r w:rsidR="004D0255" w:rsidRPr="00C4795A">
        <w:rPr>
          <w:rFonts w:ascii="Times New Roman" w:eastAsia="Scotch" w:hAnsi="Times New Roman" w:cs="Times New Roman"/>
          <w:sz w:val="24"/>
          <w:szCs w:val="24"/>
        </w:rPr>
        <w:t xml:space="preserve">così, </w:t>
      </w:r>
      <w:r w:rsidR="00475CE6" w:rsidRPr="00C4795A">
        <w:rPr>
          <w:rFonts w:ascii="Times New Roman" w:eastAsia="Scotch" w:hAnsi="Times New Roman" w:cs="Times New Roman"/>
          <w:sz w:val="24"/>
          <w:szCs w:val="24"/>
        </w:rPr>
        <w:t xml:space="preserve">nei casi </w:t>
      </w:r>
      <w:r w:rsidR="00E76AA4" w:rsidRPr="00C4795A">
        <w:rPr>
          <w:rFonts w:ascii="Times New Roman" w:eastAsia="Scotch" w:hAnsi="Times New Roman" w:cs="Times New Roman"/>
          <w:sz w:val="24"/>
          <w:szCs w:val="24"/>
        </w:rPr>
        <w:t xml:space="preserve">limite </w:t>
      </w:r>
      <w:r w:rsidR="004D0255" w:rsidRPr="00C4795A">
        <w:rPr>
          <w:rFonts w:ascii="Times New Roman" w:eastAsia="Scotch" w:hAnsi="Times New Roman" w:cs="Times New Roman"/>
          <w:sz w:val="24"/>
          <w:szCs w:val="24"/>
        </w:rPr>
        <w:t>cui si è fatto cenno,</w:t>
      </w:r>
      <w:r w:rsidR="00E76AA4" w:rsidRPr="00C4795A">
        <w:rPr>
          <w:rFonts w:ascii="Times New Roman" w:eastAsia="Scotch" w:hAnsi="Times New Roman" w:cs="Times New Roman"/>
          <w:sz w:val="24"/>
          <w:szCs w:val="24"/>
        </w:rPr>
        <w:t xml:space="preserve"> si potrebbe </w:t>
      </w:r>
      <w:r w:rsidR="00475CE6" w:rsidRPr="00C4795A">
        <w:rPr>
          <w:rFonts w:ascii="Times New Roman" w:eastAsia="Scotch" w:hAnsi="Times New Roman" w:cs="Times New Roman"/>
          <w:sz w:val="24"/>
          <w:szCs w:val="24"/>
        </w:rPr>
        <w:t xml:space="preserve">riconoscere </w:t>
      </w:r>
      <w:r w:rsidR="000E39B0" w:rsidRPr="00C4795A">
        <w:rPr>
          <w:rFonts w:ascii="Times New Roman" w:eastAsia="Scotch" w:hAnsi="Times New Roman" w:cs="Times New Roman"/>
          <w:sz w:val="24"/>
          <w:szCs w:val="24"/>
        </w:rPr>
        <w:t xml:space="preserve">la possibilità, con ordinanza interlocutoria, di disapplicare la norma interna incompatibile e contestualmente incardinare una </w:t>
      </w:r>
      <w:r w:rsidR="000E39B0" w:rsidRPr="00C4795A">
        <w:rPr>
          <w:rFonts w:ascii="Times New Roman" w:eastAsia="Scotch" w:hAnsi="Times New Roman" w:cs="Times New Roman"/>
          <w:i/>
          <w:iCs/>
          <w:sz w:val="24"/>
          <w:szCs w:val="24"/>
        </w:rPr>
        <w:t xml:space="preserve">quaestio </w:t>
      </w:r>
      <w:r w:rsidR="00475CE6" w:rsidRPr="00C4795A">
        <w:rPr>
          <w:rFonts w:ascii="Times New Roman" w:eastAsia="Scotch" w:hAnsi="Times New Roman" w:cs="Times New Roman"/>
          <w:sz w:val="24"/>
          <w:szCs w:val="24"/>
        </w:rPr>
        <w:t xml:space="preserve">sul doppio parametro interno e unionale in vista dell’esigenza di garantire </w:t>
      </w:r>
      <w:r w:rsidR="000E39B0" w:rsidRPr="00C4795A">
        <w:rPr>
          <w:rFonts w:ascii="Times New Roman" w:eastAsia="Scotch" w:hAnsi="Times New Roman" w:cs="Times New Roman"/>
          <w:sz w:val="24"/>
          <w:szCs w:val="24"/>
        </w:rPr>
        <w:t xml:space="preserve">– </w:t>
      </w:r>
      <w:r w:rsidR="00475CE6" w:rsidRPr="00C4795A">
        <w:rPr>
          <w:rFonts w:ascii="Times New Roman" w:eastAsia="Scotch" w:hAnsi="Times New Roman" w:cs="Times New Roman"/>
          <w:sz w:val="24"/>
          <w:szCs w:val="24"/>
        </w:rPr>
        <w:t xml:space="preserve">contemporaneamente e non disgiuntamente </w:t>
      </w:r>
      <w:r w:rsidR="000E39B0" w:rsidRPr="00C4795A">
        <w:rPr>
          <w:rFonts w:ascii="Times New Roman" w:eastAsia="Scotch" w:hAnsi="Times New Roman" w:cs="Times New Roman"/>
          <w:sz w:val="24"/>
          <w:szCs w:val="24"/>
        </w:rPr>
        <w:t xml:space="preserve">– </w:t>
      </w:r>
      <w:r w:rsidR="00475CE6" w:rsidRPr="00C4795A">
        <w:rPr>
          <w:rFonts w:ascii="Times New Roman" w:eastAsia="Scotch" w:hAnsi="Times New Roman" w:cs="Times New Roman"/>
          <w:sz w:val="24"/>
          <w:szCs w:val="24"/>
        </w:rPr>
        <w:t xml:space="preserve">l’immediatezza </w:t>
      </w:r>
      <w:r w:rsidR="000E39B0" w:rsidRPr="00C4795A">
        <w:rPr>
          <w:rFonts w:ascii="Times New Roman" w:eastAsia="Scotch" w:hAnsi="Times New Roman" w:cs="Times New Roman"/>
          <w:sz w:val="24"/>
          <w:szCs w:val="24"/>
        </w:rPr>
        <w:t>di</w:t>
      </w:r>
      <w:r w:rsidR="00475CE6" w:rsidRPr="00C4795A">
        <w:rPr>
          <w:rFonts w:ascii="Times New Roman" w:eastAsia="Scotch" w:hAnsi="Times New Roman" w:cs="Times New Roman"/>
          <w:sz w:val="24"/>
          <w:szCs w:val="24"/>
        </w:rPr>
        <w:t xml:space="preserve"> tutela</w:t>
      </w:r>
      <w:r w:rsidR="000E39B0" w:rsidRPr="00C4795A">
        <w:rPr>
          <w:rFonts w:ascii="Times New Roman" w:eastAsia="Scotch" w:hAnsi="Times New Roman" w:cs="Times New Roman"/>
          <w:sz w:val="24"/>
          <w:szCs w:val="24"/>
        </w:rPr>
        <w:t xml:space="preserve"> </w:t>
      </w:r>
      <w:r w:rsidR="00475CE6" w:rsidRPr="00C4795A">
        <w:rPr>
          <w:rFonts w:ascii="Times New Roman" w:eastAsia="Scotch" w:hAnsi="Times New Roman" w:cs="Times New Roman"/>
          <w:sz w:val="24"/>
          <w:szCs w:val="24"/>
        </w:rPr>
        <w:t xml:space="preserve">che deriva </w:t>
      </w:r>
      <w:r w:rsidR="000E39B0" w:rsidRPr="00C4795A">
        <w:rPr>
          <w:rFonts w:ascii="Times New Roman" w:eastAsia="Scotch" w:hAnsi="Times New Roman" w:cs="Times New Roman"/>
          <w:sz w:val="24"/>
          <w:szCs w:val="24"/>
        </w:rPr>
        <w:t xml:space="preserve">dal diritto UE </w:t>
      </w:r>
      <w:r w:rsidR="00475CE6" w:rsidRPr="00C4795A">
        <w:rPr>
          <w:rFonts w:ascii="Times New Roman" w:eastAsia="Scotch" w:hAnsi="Times New Roman" w:cs="Times New Roman"/>
          <w:sz w:val="24"/>
          <w:szCs w:val="24"/>
        </w:rPr>
        <w:t xml:space="preserve">e la tutela </w:t>
      </w:r>
      <w:r w:rsidR="00475CE6" w:rsidRPr="00C4795A">
        <w:rPr>
          <w:rFonts w:ascii="Times New Roman" w:eastAsia="Scotch" w:hAnsi="Times New Roman" w:cs="Times New Roman"/>
          <w:i/>
          <w:iCs/>
          <w:sz w:val="24"/>
          <w:szCs w:val="24"/>
        </w:rPr>
        <w:t>erga omnes</w:t>
      </w:r>
      <w:r w:rsidR="00475CE6" w:rsidRPr="00C4795A">
        <w:rPr>
          <w:rFonts w:ascii="Times New Roman" w:eastAsia="Scotch" w:hAnsi="Times New Roman" w:cs="Times New Roman"/>
          <w:sz w:val="24"/>
          <w:szCs w:val="24"/>
        </w:rPr>
        <w:t xml:space="preserve">, sistemica e integrata dei diritti fondamentali che può essere assicurata soltanto dal sindacato accentrato. </w:t>
      </w:r>
    </w:p>
    <w:p w14:paraId="7FBBACF9" w14:textId="1F96CB85" w:rsidR="00C60255" w:rsidRPr="00C4795A" w:rsidRDefault="00E76AA4" w:rsidP="00FF3EEB">
      <w:pPr>
        <w:spacing w:after="0"/>
        <w:jc w:val="both"/>
        <w:rPr>
          <w:rFonts w:ascii="Times New Roman" w:eastAsia="Scotch" w:hAnsi="Times New Roman" w:cs="Times New Roman"/>
          <w:sz w:val="24"/>
          <w:szCs w:val="24"/>
        </w:rPr>
      </w:pPr>
      <w:r w:rsidRPr="00C4795A">
        <w:rPr>
          <w:rFonts w:ascii="Times New Roman" w:eastAsia="Scotch" w:hAnsi="Times New Roman" w:cs="Times New Roman"/>
          <w:sz w:val="24"/>
          <w:szCs w:val="24"/>
        </w:rPr>
        <w:t xml:space="preserve">Uno schema processuale che consentisse la </w:t>
      </w:r>
      <w:r w:rsidR="005C2734" w:rsidRPr="00C4795A">
        <w:rPr>
          <w:rFonts w:ascii="Times New Roman" w:eastAsia="Times New Roman" w:hAnsi="Times New Roman" w:cs="Times New Roman"/>
          <w:kern w:val="0"/>
          <w:sz w:val="24"/>
          <w:szCs w:val="24"/>
          <w:lang w:eastAsia="it-IT"/>
          <w14:ligatures w14:val="none"/>
        </w:rPr>
        <w:t>disapplicazione</w:t>
      </w:r>
      <w:r w:rsidR="00EE220B" w:rsidRPr="00C4795A">
        <w:rPr>
          <w:rFonts w:ascii="Times New Roman" w:eastAsia="Times New Roman" w:hAnsi="Times New Roman" w:cs="Times New Roman"/>
          <w:kern w:val="0"/>
          <w:sz w:val="24"/>
          <w:szCs w:val="24"/>
          <w:lang w:eastAsia="it-IT"/>
          <w14:ligatures w14:val="none"/>
        </w:rPr>
        <w:t xml:space="preserve"> </w:t>
      </w:r>
      <w:proofErr w:type="gramStart"/>
      <w:r w:rsidRPr="00C4795A">
        <w:rPr>
          <w:rFonts w:ascii="Times New Roman" w:eastAsia="Times New Roman" w:hAnsi="Times New Roman" w:cs="Times New Roman"/>
          <w:i/>
          <w:iCs/>
          <w:kern w:val="0"/>
          <w:sz w:val="24"/>
          <w:szCs w:val="24"/>
          <w:lang w:eastAsia="it-IT"/>
          <w14:ligatures w14:val="none"/>
        </w:rPr>
        <w:t>inter partes</w:t>
      </w:r>
      <w:proofErr w:type="gramEnd"/>
      <w:r w:rsidRPr="00C4795A">
        <w:rPr>
          <w:rFonts w:ascii="Times New Roman" w:eastAsia="Times New Roman" w:hAnsi="Times New Roman" w:cs="Times New Roman"/>
          <w:kern w:val="0"/>
          <w:sz w:val="24"/>
          <w:szCs w:val="24"/>
          <w:lang w:eastAsia="it-IT"/>
          <w14:ligatures w14:val="none"/>
        </w:rPr>
        <w:t xml:space="preserve"> </w:t>
      </w:r>
      <w:r w:rsidR="00EE220B" w:rsidRPr="00C4795A">
        <w:rPr>
          <w:rFonts w:ascii="Times New Roman" w:eastAsia="Times New Roman" w:hAnsi="Times New Roman" w:cs="Times New Roman"/>
          <w:kern w:val="0"/>
          <w:sz w:val="24"/>
          <w:szCs w:val="24"/>
          <w:lang w:eastAsia="it-IT"/>
          <w14:ligatures w14:val="none"/>
        </w:rPr>
        <w:t xml:space="preserve">e </w:t>
      </w:r>
      <w:r w:rsidRPr="00C4795A">
        <w:rPr>
          <w:rFonts w:ascii="Times New Roman" w:eastAsia="Times New Roman" w:hAnsi="Times New Roman" w:cs="Times New Roman"/>
          <w:kern w:val="0"/>
          <w:sz w:val="24"/>
          <w:szCs w:val="24"/>
          <w:lang w:eastAsia="it-IT"/>
          <w14:ligatures w14:val="none"/>
        </w:rPr>
        <w:t xml:space="preserve">la </w:t>
      </w:r>
      <w:r w:rsidRPr="00C4795A">
        <w:rPr>
          <w:rFonts w:ascii="Times New Roman" w:eastAsia="Scotch" w:hAnsi="Times New Roman" w:cs="Times New Roman"/>
          <w:sz w:val="24"/>
          <w:szCs w:val="24"/>
        </w:rPr>
        <w:t xml:space="preserve">contestuale </w:t>
      </w:r>
      <w:r w:rsidR="005C2734" w:rsidRPr="00C4795A">
        <w:rPr>
          <w:rFonts w:ascii="Times New Roman" w:eastAsia="Times New Roman" w:hAnsi="Times New Roman" w:cs="Times New Roman"/>
          <w:kern w:val="0"/>
          <w:sz w:val="24"/>
          <w:szCs w:val="24"/>
          <w:lang w:eastAsia="it-IT"/>
          <w14:ligatures w14:val="none"/>
        </w:rPr>
        <w:t xml:space="preserve">proposizione della </w:t>
      </w:r>
      <w:proofErr w:type="spellStart"/>
      <w:r w:rsidR="005C2734" w:rsidRPr="00C4795A">
        <w:rPr>
          <w:rFonts w:ascii="Times New Roman" w:eastAsia="Times New Roman" w:hAnsi="Times New Roman" w:cs="Times New Roman"/>
          <w:kern w:val="0"/>
          <w:sz w:val="24"/>
          <w:szCs w:val="24"/>
          <w:lang w:eastAsia="it-IT"/>
          <w14:ligatures w14:val="none"/>
        </w:rPr>
        <w:t>q.l.c</w:t>
      </w:r>
      <w:proofErr w:type="spellEnd"/>
      <w:r w:rsidR="005C2734" w:rsidRPr="00C4795A">
        <w:rPr>
          <w:rFonts w:ascii="Times New Roman" w:eastAsia="Times New Roman" w:hAnsi="Times New Roman" w:cs="Times New Roman"/>
          <w:kern w:val="0"/>
          <w:sz w:val="24"/>
          <w:szCs w:val="24"/>
          <w:lang w:eastAsia="it-IT"/>
          <w14:ligatures w14:val="none"/>
        </w:rPr>
        <w:t>.</w:t>
      </w:r>
      <w:r w:rsidR="00955E3B" w:rsidRPr="00C4795A">
        <w:rPr>
          <w:rFonts w:ascii="Times New Roman" w:eastAsia="Scotch" w:hAnsi="Times New Roman" w:cs="Times New Roman"/>
          <w:sz w:val="24"/>
          <w:szCs w:val="24"/>
        </w:rPr>
        <w:t xml:space="preserve"> </w:t>
      </w:r>
      <w:r w:rsidRPr="00C4795A">
        <w:rPr>
          <w:rFonts w:ascii="Times New Roman" w:eastAsia="Scotch" w:hAnsi="Times New Roman" w:cs="Times New Roman"/>
          <w:sz w:val="24"/>
          <w:szCs w:val="24"/>
        </w:rPr>
        <w:t xml:space="preserve">priverebbe di ogni consistenza i rilievi </w:t>
      </w:r>
      <w:r w:rsidR="00C67023" w:rsidRPr="00C4795A">
        <w:rPr>
          <w:rFonts w:ascii="Times New Roman" w:eastAsia="Scotch" w:hAnsi="Times New Roman" w:cs="Times New Roman"/>
          <w:sz w:val="24"/>
          <w:szCs w:val="24"/>
        </w:rPr>
        <w:t xml:space="preserve">critici </w:t>
      </w:r>
      <w:r w:rsidR="007270BC" w:rsidRPr="00C4795A">
        <w:rPr>
          <w:rFonts w:ascii="Times New Roman" w:eastAsia="Scotch" w:hAnsi="Times New Roman" w:cs="Times New Roman"/>
          <w:sz w:val="24"/>
          <w:szCs w:val="24"/>
        </w:rPr>
        <w:t xml:space="preserve">formulati </w:t>
      </w:r>
      <w:r w:rsidR="00F45342" w:rsidRPr="00C4795A">
        <w:rPr>
          <w:rFonts w:ascii="Times New Roman" w:eastAsia="Scotch" w:hAnsi="Times New Roman" w:cs="Times New Roman"/>
          <w:sz w:val="24"/>
          <w:szCs w:val="24"/>
        </w:rPr>
        <w:t>dalla dottrina</w:t>
      </w:r>
      <w:r w:rsidR="007270BC" w:rsidRPr="00C4795A">
        <w:rPr>
          <w:rFonts w:ascii="Times New Roman" w:eastAsia="Scotch" w:hAnsi="Times New Roman" w:cs="Times New Roman"/>
          <w:sz w:val="24"/>
          <w:szCs w:val="24"/>
        </w:rPr>
        <w:t xml:space="preserve"> nei confronti della </w:t>
      </w:r>
      <w:r w:rsidRPr="00C4795A">
        <w:rPr>
          <w:rFonts w:ascii="Times New Roman" w:eastAsia="Scotch" w:hAnsi="Times New Roman" w:cs="Times New Roman"/>
          <w:sz w:val="24"/>
          <w:szCs w:val="24"/>
        </w:rPr>
        <w:t>“</w:t>
      </w:r>
      <w:r w:rsidR="007270BC" w:rsidRPr="00C4795A">
        <w:rPr>
          <w:rFonts w:ascii="Times New Roman" w:eastAsia="Scotch" w:hAnsi="Times New Roman" w:cs="Times New Roman"/>
          <w:sz w:val="24"/>
          <w:szCs w:val="24"/>
        </w:rPr>
        <w:t>regola 181</w:t>
      </w:r>
      <w:r w:rsidRPr="00C4795A">
        <w:rPr>
          <w:rFonts w:ascii="Times New Roman" w:eastAsia="Scotch" w:hAnsi="Times New Roman" w:cs="Times New Roman"/>
          <w:sz w:val="24"/>
          <w:szCs w:val="24"/>
        </w:rPr>
        <w:t>”.</w:t>
      </w:r>
      <w:r w:rsidR="00164270" w:rsidRPr="00C4795A">
        <w:rPr>
          <w:rFonts w:ascii="Times New Roman" w:eastAsia="Scotch" w:hAnsi="Times New Roman" w:cs="Times New Roman"/>
          <w:sz w:val="24"/>
          <w:szCs w:val="24"/>
        </w:rPr>
        <w:t xml:space="preserve"> </w:t>
      </w:r>
      <w:r w:rsidR="00C60255" w:rsidRPr="00C4795A">
        <w:rPr>
          <w:rFonts w:ascii="Times New Roman" w:eastAsia="Scotch" w:hAnsi="Times New Roman" w:cs="Times New Roman"/>
          <w:sz w:val="24"/>
          <w:szCs w:val="24"/>
        </w:rPr>
        <w:t>Non potrebbe lamentar</w:t>
      </w:r>
      <w:r w:rsidRPr="00C4795A">
        <w:rPr>
          <w:rFonts w:ascii="Times New Roman" w:eastAsia="Scotch" w:hAnsi="Times New Roman" w:cs="Times New Roman"/>
          <w:sz w:val="24"/>
          <w:szCs w:val="24"/>
        </w:rPr>
        <w:t>si</w:t>
      </w:r>
      <w:r w:rsidR="00C60255" w:rsidRPr="00C4795A">
        <w:rPr>
          <w:rFonts w:ascii="Times New Roman" w:eastAsia="Scotch" w:hAnsi="Times New Roman" w:cs="Times New Roman"/>
          <w:sz w:val="24"/>
          <w:szCs w:val="24"/>
        </w:rPr>
        <w:t xml:space="preserve"> la violazione della giurisprudenza </w:t>
      </w:r>
      <w:r w:rsidR="00C60255" w:rsidRPr="00C4795A">
        <w:rPr>
          <w:rFonts w:ascii="Times New Roman" w:eastAsia="Scotch" w:hAnsi="Times New Roman" w:cs="Times New Roman"/>
          <w:i/>
          <w:iCs/>
          <w:sz w:val="24"/>
          <w:szCs w:val="24"/>
        </w:rPr>
        <w:t xml:space="preserve">Wiener </w:t>
      </w:r>
      <w:proofErr w:type="spellStart"/>
      <w:r w:rsidR="00C60255" w:rsidRPr="00C4795A">
        <w:rPr>
          <w:rFonts w:ascii="Times New Roman" w:eastAsia="Scotch" w:hAnsi="Times New Roman" w:cs="Times New Roman"/>
          <w:i/>
          <w:iCs/>
          <w:sz w:val="24"/>
          <w:szCs w:val="24"/>
        </w:rPr>
        <w:t>Wetten</w:t>
      </w:r>
      <w:proofErr w:type="spellEnd"/>
      <w:r w:rsidR="00C60255" w:rsidRPr="00C4795A">
        <w:rPr>
          <w:rFonts w:ascii="Times New Roman" w:eastAsia="Scotch" w:hAnsi="Times New Roman" w:cs="Times New Roman"/>
          <w:sz w:val="24"/>
          <w:szCs w:val="24"/>
        </w:rPr>
        <w:t xml:space="preserve"> </w:t>
      </w:r>
      <w:r w:rsidR="00CC7B53" w:rsidRPr="00C4795A">
        <w:rPr>
          <w:rFonts w:ascii="Times New Roman" w:eastAsia="Scotch" w:hAnsi="Times New Roman" w:cs="Times New Roman"/>
          <w:sz w:val="24"/>
          <w:szCs w:val="24"/>
        </w:rPr>
        <w:t xml:space="preserve">e </w:t>
      </w:r>
      <w:r w:rsidR="00CC7B53" w:rsidRPr="00C4795A">
        <w:rPr>
          <w:rFonts w:ascii="Times New Roman" w:eastAsia="Scotch" w:hAnsi="Times New Roman" w:cs="Times New Roman"/>
          <w:i/>
          <w:iCs/>
          <w:sz w:val="24"/>
          <w:szCs w:val="24"/>
        </w:rPr>
        <w:t>RS</w:t>
      </w:r>
      <w:r w:rsidR="00CC7B53" w:rsidRPr="00C4795A">
        <w:rPr>
          <w:rFonts w:ascii="Times New Roman" w:eastAsia="Scotch" w:hAnsi="Times New Roman" w:cs="Times New Roman"/>
          <w:sz w:val="24"/>
          <w:szCs w:val="24"/>
        </w:rPr>
        <w:t xml:space="preserve"> </w:t>
      </w:r>
      <w:r w:rsidR="00C60255" w:rsidRPr="00C4795A">
        <w:rPr>
          <w:rFonts w:ascii="Times New Roman" w:eastAsia="Scotch" w:hAnsi="Times New Roman" w:cs="Times New Roman"/>
          <w:sz w:val="24"/>
          <w:szCs w:val="24"/>
        </w:rPr>
        <w:t>circa l’obbligo di dare immediata applicazione al diritto unionale dotato di efficacia diretta; non si potrebbe contestare alla Corte di aver nei fatti privato il giudice comune della potestà di ‘</w:t>
      </w:r>
      <w:proofErr w:type="spellStart"/>
      <w:r w:rsidR="00C60255" w:rsidRPr="00C4795A">
        <w:rPr>
          <w:rFonts w:ascii="Times New Roman" w:eastAsia="Scotch" w:hAnsi="Times New Roman" w:cs="Times New Roman"/>
          <w:sz w:val="24"/>
          <w:szCs w:val="24"/>
        </w:rPr>
        <w:t>libera’</w:t>
      </w:r>
      <w:proofErr w:type="spellEnd"/>
      <w:r w:rsidR="00C60255" w:rsidRPr="00C4795A">
        <w:rPr>
          <w:rFonts w:ascii="Times New Roman" w:eastAsia="Scotch" w:hAnsi="Times New Roman" w:cs="Times New Roman"/>
          <w:sz w:val="24"/>
          <w:szCs w:val="24"/>
        </w:rPr>
        <w:t xml:space="preserve"> disapplicazione’ della norma interna e di averlo messo ai margini del processo di attuazione del diritto unionale</w:t>
      </w:r>
      <w:r w:rsidR="00C60255" w:rsidRPr="00C4795A">
        <w:rPr>
          <w:rStyle w:val="Rimandonotaapidipagina"/>
          <w:rFonts w:ascii="Times New Roman" w:eastAsia="Scotch" w:hAnsi="Times New Roman" w:cs="Times New Roman"/>
          <w:sz w:val="24"/>
          <w:szCs w:val="24"/>
        </w:rPr>
        <w:footnoteReference w:id="87"/>
      </w:r>
      <w:r w:rsidR="00C60255" w:rsidRPr="00C4795A">
        <w:rPr>
          <w:rFonts w:ascii="Times New Roman" w:eastAsia="Scotch" w:hAnsi="Times New Roman" w:cs="Times New Roman"/>
          <w:sz w:val="24"/>
          <w:szCs w:val="24"/>
        </w:rPr>
        <w:t>. Non si potrebbe</w:t>
      </w:r>
      <w:r w:rsidRPr="00C4795A">
        <w:rPr>
          <w:rFonts w:ascii="Times New Roman" w:eastAsia="Scotch" w:hAnsi="Times New Roman" w:cs="Times New Roman"/>
          <w:sz w:val="24"/>
          <w:szCs w:val="24"/>
        </w:rPr>
        <w:t>,</w:t>
      </w:r>
      <w:r w:rsidR="00C60255" w:rsidRPr="00C4795A">
        <w:rPr>
          <w:rFonts w:ascii="Times New Roman" w:eastAsia="Scotch" w:hAnsi="Times New Roman" w:cs="Times New Roman"/>
          <w:sz w:val="24"/>
          <w:szCs w:val="24"/>
        </w:rPr>
        <w:t xml:space="preserve"> infine</w:t>
      </w:r>
      <w:r w:rsidRPr="00C4795A">
        <w:rPr>
          <w:rFonts w:ascii="Times New Roman" w:eastAsia="Scotch" w:hAnsi="Times New Roman" w:cs="Times New Roman"/>
          <w:sz w:val="24"/>
          <w:szCs w:val="24"/>
        </w:rPr>
        <w:t>,</w:t>
      </w:r>
      <w:r w:rsidR="00C60255" w:rsidRPr="00C4795A">
        <w:rPr>
          <w:rFonts w:ascii="Times New Roman" w:eastAsia="Scotch" w:hAnsi="Times New Roman" w:cs="Times New Roman"/>
          <w:sz w:val="24"/>
          <w:szCs w:val="24"/>
        </w:rPr>
        <w:t xml:space="preserve"> imputare alla Corte di </w:t>
      </w:r>
      <w:r w:rsidR="00560EE3" w:rsidRPr="00C4795A">
        <w:rPr>
          <w:rFonts w:ascii="Times New Roman" w:eastAsia="Scotch" w:hAnsi="Times New Roman" w:cs="Times New Roman"/>
          <w:sz w:val="24"/>
          <w:szCs w:val="24"/>
        </w:rPr>
        <w:t>«</w:t>
      </w:r>
      <w:r w:rsidR="00C60255" w:rsidRPr="00C4795A">
        <w:rPr>
          <w:rFonts w:ascii="Times New Roman" w:eastAsia="Scotch" w:hAnsi="Times New Roman" w:cs="Times New Roman"/>
          <w:sz w:val="24"/>
          <w:szCs w:val="24"/>
        </w:rPr>
        <w:t>postulare una assiologica e sistematica preferenza</w:t>
      </w:r>
      <w:r w:rsidR="00A11936" w:rsidRPr="00C4795A">
        <w:rPr>
          <w:rFonts w:ascii="Times New Roman" w:eastAsia="Scotch" w:hAnsi="Times New Roman" w:cs="Times New Roman"/>
          <w:sz w:val="24"/>
          <w:szCs w:val="24"/>
        </w:rPr>
        <w:t>»</w:t>
      </w:r>
      <w:r w:rsidR="00C60255" w:rsidRPr="00C4795A">
        <w:rPr>
          <w:rFonts w:ascii="Times New Roman" w:eastAsia="Scotch" w:hAnsi="Times New Roman" w:cs="Times New Roman"/>
          <w:sz w:val="24"/>
          <w:szCs w:val="24"/>
        </w:rPr>
        <w:t xml:space="preserve"> per il giudizio accentrato (come denuncia Mastroianni</w:t>
      </w:r>
      <w:r w:rsidR="00C60255" w:rsidRPr="00C4795A">
        <w:rPr>
          <w:rStyle w:val="Rimandonotaapidipagina"/>
          <w:rFonts w:ascii="Times New Roman" w:eastAsia="Scotch" w:hAnsi="Times New Roman" w:cs="Times New Roman"/>
          <w:sz w:val="24"/>
          <w:szCs w:val="24"/>
        </w:rPr>
        <w:footnoteReference w:id="88"/>
      </w:r>
      <w:r w:rsidR="00EE220B" w:rsidRPr="00C4795A">
        <w:rPr>
          <w:rFonts w:ascii="Times New Roman" w:eastAsia="Scotch" w:hAnsi="Times New Roman" w:cs="Times New Roman"/>
          <w:sz w:val="24"/>
          <w:szCs w:val="24"/>
        </w:rPr>
        <w:t xml:space="preserve"> riconoscendo gli indubbi vantaggi della tutela offerta</w:t>
      </w:r>
      <w:r w:rsidR="00454487" w:rsidRPr="00C4795A">
        <w:rPr>
          <w:rFonts w:ascii="Times New Roman" w:eastAsia="Scotch" w:hAnsi="Times New Roman" w:cs="Times New Roman"/>
          <w:sz w:val="24"/>
          <w:szCs w:val="24"/>
        </w:rPr>
        <w:t xml:space="preserve"> </w:t>
      </w:r>
      <w:r w:rsidR="00EE220B" w:rsidRPr="00C4795A">
        <w:rPr>
          <w:rFonts w:ascii="Times New Roman" w:eastAsia="Scotch" w:hAnsi="Times New Roman" w:cs="Times New Roman"/>
          <w:sz w:val="24"/>
          <w:szCs w:val="24"/>
        </w:rPr>
        <w:t>dalla Co</w:t>
      </w:r>
      <w:r w:rsidR="003250CA" w:rsidRPr="00C4795A">
        <w:rPr>
          <w:rFonts w:ascii="Times New Roman" w:eastAsia="Scotch" w:hAnsi="Times New Roman" w:cs="Times New Roman"/>
          <w:sz w:val="24"/>
          <w:szCs w:val="24"/>
        </w:rPr>
        <w:t>nsulta</w:t>
      </w:r>
      <w:r w:rsidR="00C60255" w:rsidRPr="00C4795A">
        <w:rPr>
          <w:rFonts w:ascii="Times New Roman" w:eastAsia="Scotch" w:hAnsi="Times New Roman" w:cs="Times New Roman"/>
          <w:sz w:val="24"/>
          <w:szCs w:val="24"/>
        </w:rPr>
        <w:t xml:space="preserve">), perché rimedio interno e rimedio unionale sarebbero perfettamente contestuali, senza gradazioni </w:t>
      </w:r>
      <w:r w:rsidR="00EE220B" w:rsidRPr="00C4795A">
        <w:rPr>
          <w:rFonts w:ascii="Times New Roman" w:eastAsia="Scotch" w:hAnsi="Times New Roman" w:cs="Times New Roman"/>
          <w:sz w:val="24"/>
          <w:szCs w:val="24"/>
        </w:rPr>
        <w:t xml:space="preserve">logiche o </w:t>
      </w:r>
      <w:r w:rsidR="00C60255" w:rsidRPr="00C4795A">
        <w:rPr>
          <w:rFonts w:ascii="Times New Roman" w:eastAsia="Scotch" w:hAnsi="Times New Roman" w:cs="Times New Roman"/>
          <w:sz w:val="24"/>
          <w:szCs w:val="24"/>
        </w:rPr>
        <w:t>cronologiche.</w:t>
      </w:r>
    </w:p>
    <w:p w14:paraId="164BBE81" w14:textId="2DB70231" w:rsidR="00705934" w:rsidRPr="00C4795A" w:rsidRDefault="00164270" w:rsidP="00FF3EEB">
      <w:pPr>
        <w:spacing w:after="0"/>
        <w:jc w:val="both"/>
        <w:rPr>
          <w:rFonts w:ascii="Times New Roman" w:eastAsia="Scotch" w:hAnsi="Times New Roman" w:cs="Times New Roman"/>
          <w:sz w:val="24"/>
          <w:szCs w:val="24"/>
        </w:rPr>
      </w:pPr>
      <w:r w:rsidRPr="00C4795A">
        <w:rPr>
          <w:rFonts w:ascii="Times New Roman" w:eastAsia="Scotch" w:hAnsi="Times New Roman" w:cs="Times New Roman"/>
          <w:sz w:val="24"/>
          <w:szCs w:val="24"/>
        </w:rPr>
        <w:t xml:space="preserve">La soluzione </w:t>
      </w:r>
      <w:r w:rsidR="00900F9A" w:rsidRPr="00C4795A">
        <w:rPr>
          <w:rFonts w:ascii="Times New Roman" w:eastAsia="Scotch" w:hAnsi="Times New Roman" w:cs="Times New Roman"/>
          <w:sz w:val="24"/>
          <w:szCs w:val="24"/>
        </w:rPr>
        <w:t xml:space="preserve">della simultaneità </w:t>
      </w:r>
      <w:r w:rsidR="00923467" w:rsidRPr="00C4795A">
        <w:rPr>
          <w:rFonts w:ascii="Times New Roman" w:eastAsia="Scotch" w:hAnsi="Times New Roman" w:cs="Times New Roman"/>
          <w:sz w:val="24"/>
          <w:szCs w:val="24"/>
        </w:rPr>
        <w:t xml:space="preserve">non dovrebbe trovare ostacoli di sorta </w:t>
      </w:r>
      <w:r w:rsidR="00C60255" w:rsidRPr="00C4795A">
        <w:rPr>
          <w:rFonts w:ascii="Times New Roman" w:eastAsia="Scotch" w:hAnsi="Times New Roman" w:cs="Times New Roman"/>
          <w:sz w:val="24"/>
          <w:szCs w:val="24"/>
        </w:rPr>
        <w:t xml:space="preserve">neppure </w:t>
      </w:r>
      <w:r w:rsidR="00923467" w:rsidRPr="00C4795A">
        <w:rPr>
          <w:rFonts w:ascii="Times New Roman" w:eastAsia="Scotch" w:hAnsi="Times New Roman" w:cs="Times New Roman"/>
          <w:sz w:val="24"/>
          <w:szCs w:val="24"/>
        </w:rPr>
        <w:t>nella giurisprudenza europea</w:t>
      </w:r>
      <w:r w:rsidR="00BB759F" w:rsidRPr="00C4795A">
        <w:rPr>
          <w:rFonts w:ascii="Times New Roman" w:eastAsia="Scotch" w:hAnsi="Times New Roman" w:cs="Times New Roman"/>
          <w:sz w:val="24"/>
          <w:szCs w:val="24"/>
        </w:rPr>
        <w:t>. G</w:t>
      </w:r>
      <w:r w:rsidR="00B42EB6" w:rsidRPr="00C4795A">
        <w:rPr>
          <w:rFonts w:ascii="Times New Roman" w:eastAsia="Scotch" w:hAnsi="Times New Roman" w:cs="Times New Roman"/>
          <w:sz w:val="24"/>
          <w:szCs w:val="24"/>
        </w:rPr>
        <w:t>ià ne</w:t>
      </w:r>
      <w:r w:rsidR="00705934" w:rsidRPr="00C4795A">
        <w:rPr>
          <w:rFonts w:ascii="Times New Roman" w:eastAsia="Scotch" w:hAnsi="Times New Roman" w:cs="Times New Roman"/>
          <w:sz w:val="24"/>
          <w:szCs w:val="24"/>
        </w:rPr>
        <w:t>lla sentenza Melki e</w:t>
      </w:r>
      <w:r w:rsidR="00B42EB6" w:rsidRPr="00C4795A">
        <w:rPr>
          <w:rFonts w:ascii="Times New Roman" w:eastAsia="Scotch" w:hAnsi="Times New Roman" w:cs="Times New Roman"/>
          <w:sz w:val="24"/>
          <w:szCs w:val="24"/>
        </w:rPr>
        <w:t xml:space="preserve"> Abdeli</w:t>
      </w:r>
      <w:r w:rsidR="00705934" w:rsidRPr="00C4795A">
        <w:rPr>
          <w:rStyle w:val="Rimandonotaapidipagina"/>
          <w:rFonts w:ascii="Times New Roman" w:eastAsia="Scotch" w:hAnsi="Times New Roman" w:cs="Times New Roman"/>
          <w:sz w:val="24"/>
          <w:szCs w:val="24"/>
        </w:rPr>
        <w:footnoteReference w:id="89"/>
      </w:r>
      <w:r w:rsidR="00B42EB6" w:rsidRPr="00C4795A">
        <w:rPr>
          <w:rFonts w:ascii="Times New Roman" w:eastAsia="Scotch" w:hAnsi="Times New Roman" w:cs="Times New Roman"/>
          <w:sz w:val="24"/>
          <w:szCs w:val="24"/>
        </w:rPr>
        <w:t xml:space="preserve">, nel pronunciarsi sulla compatibilità </w:t>
      </w:r>
      <w:r w:rsidR="00BB759F" w:rsidRPr="00C4795A">
        <w:rPr>
          <w:rFonts w:ascii="Times New Roman" w:eastAsia="Scotch" w:hAnsi="Times New Roman" w:cs="Times New Roman"/>
          <w:sz w:val="24"/>
          <w:szCs w:val="24"/>
        </w:rPr>
        <w:t xml:space="preserve">con il diritto unionale </w:t>
      </w:r>
      <w:r w:rsidR="00B42EB6" w:rsidRPr="00C4795A">
        <w:rPr>
          <w:rFonts w:ascii="Times New Roman" w:eastAsia="Scotch" w:hAnsi="Times New Roman" w:cs="Times New Roman"/>
          <w:sz w:val="24"/>
          <w:szCs w:val="24"/>
        </w:rPr>
        <w:t xml:space="preserve">della </w:t>
      </w:r>
      <w:proofErr w:type="spellStart"/>
      <w:r w:rsidR="009941FA" w:rsidRPr="00C4795A">
        <w:rPr>
          <w:rFonts w:ascii="Times New Roman" w:eastAsia="Scotch" w:hAnsi="Times New Roman" w:cs="Times New Roman"/>
          <w:i/>
          <w:iCs/>
          <w:sz w:val="24"/>
          <w:szCs w:val="24"/>
        </w:rPr>
        <w:t>question</w:t>
      </w:r>
      <w:proofErr w:type="spellEnd"/>
      <w:r w:rsidR="009941FA" w:rsidRPr="00C4795A">
        <w:rPr>
          <w:rFonts w:ascii="Times New Roman" w:eastAsia="Scotch" w:hAnsi="Times New Roman" w:cs="Times New Roman"/>
          <w:i/>
          <w:iCs/>
          <w:sz w:val="24"/>
          <w:szCs w:val="24"/>
        </w:rPr>
        <w:t xml:space="preserve"> </w:t>
      </w:r>
      <w:proofErr w:type="spellStart"/>
      <w:r w:rsidR="009941FA" w:rsidRPr="00C4795A">
        <w:rPr>
          <w:rFonts w:ascii="Times New Roman" w:eastAsia="Scotch" w:hAnsi="Times New Roman" w:cs="Times New Roman"/>
          <w:i/>
          <w:iCs/>
          <w:sz w:val="24"/>
          <w:szCs w:val="24"/>
        </w:rPr>
        <w:t>prioritaire</w:t>
      </w:r>
      <w:proofErr w:type="spellEnd"/>
      <w:r w:rsidR="009941FA" w:rsidRPr="00C4795A">
        <w:rPr>
          <w:rFonts w:ascii="Times New Roman" w:eastAsia="Scotch" w:hAnsi="Times New Roman" w:cs="Times New Roman"/>
          <w:i/>
          <w:iCs/>
          <w:sz w:val="24"/>
          <w:szCs w:val="24"/>
        </w:rPr>
        <w:t xml:space="preserve"> de </w:t>
      </w:r>
      <w:proofErr w:type="spellStart"/>
      <w:r w:rsidR="009941FA" w:rsidRPr="00C4795A">
        <w:rPr>
          <w:rFonts w:ascii="Times New Roman" w:eastAsia="Scotch" w:hAnsi="Times New Roman" w:cs="Times New Roman"/>
          <w:i/>
          <w:iCs/>
          <w:sz w:val="24"/>
          <w:szCs w:val="24"/>
        </w:rPr>
        <w:t>constitutionnalité</w:t>
      </w:r>
      <w:proofErr w:type="spellEnd"/>
      <w:r w:rsidR="009941FA" w:rsidRPr="00C4795A">
        <w:rPr>
          <w:rFonts w:ascii="Times New Roman" w:eastAsia="Scotch" w:hAnsi="Times New Roman" w:cs="Times New Roman"/>
          <w:sz w:val="24"/>
          <w:szCs w:val="24"/>
        </w:rPr>
        <w:t xml:space="preserve"> frances</w:t>
      </w:r>
      <w:r w:rsidR="008C0FAB" w:rsidRPr="00C4795A">
        <w:rPr>
          <w:rFonts w:ascii="Times New Roman" w:eastAsia="Scotch" w:hAnsi="Times New Roman" w:cs="Times New Roman"/>
          <w:sz w:val="24"/>
          <w:szCs w:val="24"/>
        </w:rPr>
        <w:t xml:space="preserve">e, </w:t>
      </w:r>
      <w:r w:rsidR="00B42EB6" w:rsidRPr="00C4795A">
        <w:rPr>
          <w:rFonts w:ascii="Times New Roman" w:eastAsia="Scotch" w:hAnsi="Times New Roman" w:cs="Times New Roman"/>
          <w:sz w:val="24"/>
          <w:szCs w:val="24"/>
        </w:rPr>
        <w:t xml:space="preserve">la Corte </w:t>
      </w:r>
      <w:r w:rsidR="00705934" w:rsidRPr="00C4795A">
        <w:rPr>
          <w:rFonts w:ascii="Times New Roman" w:eastAsia="Scotch" w:hAnsi="Times New Roman" w:cs="Times New Roman"/>
          <w:sz w:val="24"/>
          <w:szCs w:val="24"/>
        </w:rPr>
        <w:t xml:space="preserve">di giustizia </w:t>
      </w:r>
      <w:r w:rsidR="00BB759F" w:rsidRPr="00C4795A">
        <w:rPr>
          <w:rFonts w:ascii="Times New Roman" w:eastAsia="Scotch" w:hAnsi="Times New Roman" w:cs="Times New Roman"/>
          <w:sz w:val="24"/>
          <w:szCs w:val="24"/>
        </w:rPr>
        <w:t>– precisando il contenuto della regola Simmenthal</w:t>
      </w:r>
      <w:r w:rsidR="00BB759F" w:rsidRPr="00C4795A">
        <w:rPr>
          <w:rStyle w:val="Rimandonotaapidipagina"/>
          <w:rFonts w:ascii="Times New Roman" w:eastAsia="Scotch" w:hAnsi="Times New Roman" w:cs="Times New Roman"/>
          <w:sz w:val="24"/>
          <w:szCs w:val="24"/>
        </w:rPr>
        <w:footnoteReference w:id="90"/>
      </w:r>
      <w:r w:rsidR="00BB759F" w:rsidRPr="00C4795A">
        <w:rPr>
          <w:rFonts w:ascii="Times New Roman" w:eastAsia="Scotch" w:hAnsi="Times New Roman" w:cs="Times New Roman"/>
          <w:sz w:val="24"/>
          <w:szCs w:val="24"/>
        </w:rPr>
        <w:t xml:space="preserve"> – </w:t>
      </w:r>
      <w:r w:rsidR="00B42EB6" w:rsidRPr="00C4795A">
        <w:rPr>
          <w:rFonts w:ascii="Times New Roman" w:eastAsia="Scotch" w:hAnsi="Times New Roman" w:cs="Times New Roman"/>
          <w:sz w:val="24"/>
          <w:szCs w:val="24"/>
        </w:rPr>
        <w:t xml:space="preserve">ha eccezionalmente consentito il differimento dell’effetto </w:t>
      </w:r>
      <w:proofErr w:type="spellStart"/>
      <w:r w:rsidR="00B42EB6" w:rsidRPr="00C4795A">
        <w:rPr>
          <w:rFonts w:ascii="Times New Roman" w:eastAsia="Scotch" w:hAnsi="Times New Roman" w:cs="Times New Roman"/>
          <w:sz w:val="24"/>
          <w:szCs w:val="24"/>
        </w:rPr>
        <w:t>disapplicativo</w:t>
      </w:r>
      <w:proofErr w:type="spellEnd"/>
      <w:r w:rsidR="00B42EB6" w:rsidRPr="00C4795A">
        <w:rPr>
          <w:rFonts w:ascii="Times New Roman" w:eastAsia="Scotch" w:hAnsi="Times New Roman" w:cs="Times New Roman"/>
          <w:sz w:val="24"/>
          <w:szCs w:val="24"/>
        </w:rPr>
        <w:t xml:space="preserve">, ponendo </w:t>
      </w:r>
      <w:r w:rsidR="00705934" w:rsidRPr="00C4795A">
        <w:rPr>
          <w:rFonts w:ascii="Times New Roman" w:eastAsia="Scotch" w:hAnsi="Times New Roman" w:cs="Times New Roman"/>
          <w:sz w:val="24"/>
          <w:szCs w:val="24"/>
        </w:rPr>
        <w:t xml:space="preserve">però </w:t>
      </w:r>
      <w:r w:rsidR="00705934" w:rsidRPr="00C4795A">
        <w:rPr>
          <w:rFonts w:ascii="Times New Roman" w:hAnsi="Times New Roman" w:cs="Times New Roman"/>
          <w:sz w:val="24"/>
          <w:szCs w:val="24"/>
        </w:rPr>
        <w:t>«tre riserve»</w:t>
      </w:r>
      <w:r w:rsidR="00705934" w:rsidRPr="00C4795A">
        <w:rPr>
          <w:rStyle w:val="Rimandonotaapidipagina"/>
          <w:rFonts w:ascii="Times New Roman" w:hAnsi="Times New Roman" w:cs="Times New Roman"/>
          <w:sz w:val="24"/>
          <w:szCs w:val="24"/>
        </w:rPr>
        <w:footnoteReference w:id="91"/>
      </w:r>
      <w:r w:rsidR="00705934" w:rsidRPr="00C4795A">
        <w:rPr>
          <w:rFonts w:ascii="Times New Roman" w:hAnsi="Times New Roman" w:cs="Times New Roman"/>
          <w:sz w:val="24"/>
          <w:szCs w:val="24"/>
        </w:rPr>
        <w:t xml:space="preserve"> e cioè esigendo che al giudice comune sia </w:t>
      </w:r>
      <w:r w:rsidR="00BB759F" w:rsidRPr="00C4795A">
        <w:rPr>
          <w:rFonts w:ascii="Times New Roman" w:hAnsi="Times New Roman" w:cs="Times New Roman"/>
          <w:sz w:val="24"/>
          <w:szCs w:val="24"/>
        </w:rPr>
        <w:t xml:space="preserve">comunque </w:t>
      </w:r>
      <w:r w:rsidR="00705934" w:rsidRPr="00C4795A">
        <w:rPr>
          <w:rFonts w:ascii="Times New Roman" w:hAnsi="Times New Roman" w:cs="Times New Roman"/>
          <w:sz w:val="24"/>
          <w:szCs w:val="24"/>
        </w:rPr>
        <w:t>consentito di: a) interrogare, in qualsiasi momento del procedimento, la Corte di giustizia in via pregiudiziale; b) assumere i provvedimenti necessari alla tutela provvisoria dei diritti fondati sul diritto dell’Unione europea; c) disapplicare la norma interna oggetto dello scrutinio di costituzionalità</w:t>
      </w:r>
      <w:r w:rsidR="00E76AA4" w:rsidRPr="00C4795A">
        <w:rPr>
          <w:rFonts w:ascii="Times New Roman" w:hAnsi="Times New Roman" w:cs="Times New Roman"/>
          <w:sz w:val="24"/>
          <w:szCs w:val="24"/>
        </w:rPr>
        <w:t xml:space="preserve"> anche in pendenza del giudizio</w:t>
      </w:r>
      <w:r w:rsidR="00705934" w:rsidRPr="00C4795A">
        <w:rPr>
          <w:rFonts w:ascii="Times New Roman" w:hAnsi="Times New Roman" w:cs="Times New Roman"/>
          <w:sz w:val="24"/>
          <w:szCs w:val="24"/>
        </w:rPr>
        <w:t>.</w:t>
      </w:r>
    </w:p>
    <w:p w14:paraId="784D838D" w14:textId="7EF8A98D" w:rsidR="00B638A2" w:rsidRPr="00C4795A" w:rsidRDefault="000E39B0" w:rsidP="00FF3EEB">
      <w:pPr>
        <w:spacing w:after="0"/>
        <w:jc w:val="both"/>
        <w:rPr>
          <w:rFonts w:ascii="Times New Roman" w:eastAsia="Scotch" w:hAnsi="Times New Roman" w:cs="Times New Roman"/>
          <w:sz w:val="24"/>
          <w:szCs w:val="24"/>
        </w:rPr>
      </w:pPr>
      <w:r w:rsidRPr="00C4795A">
        <w:rPr>
          <w:rFonts w:ascii="Times New Roman" w:eastAsia="Scotch" w:hAnsi="Times New Roman" w:cs="Times New Roman"/>
          <w:sz w:val="24"/>
          <w:szCs w:val="24"/>
        </w:rPr>
        <w:t>N</w:t>
      </w:r>
      <w:r w:rsidR="00B638A2" w:rsidRPr="00C4795A">
        <w:rPr>
          <w:rFonts w:ascii="Times New Roman" w:eastAsia="Scotch" w:hAnsi="Times New Roman" w:cs="Times New Roman"/>
          <w:sz w:val="24"/>
          <w:szCs w:val="24"/>
        </w:rPr>
        <w:t xml:space="preserve">ell’ipotesi qui patrocinata, queste tre condizioni sarebbero certamente rispettate. La disapplicazione </w:t>
      </w:r>
      <w:r w:rsidR="00E76AA4" w:rsidRPr="00C4795A">
        <w:rPr>
          <w:rFonts w:ascii="Times New Roman" w:eastAsia="Scotch" w:hAnsi="Times New Roman" w:cs="Times New Roman"/>
          <w:sz w:val="24"/>
          <w:szCs w:val="24"/>
        </w:rPr>
        <w:t xml:space="preserve">provvisoria </w:t>
      </w:r>
      <w:r w:rsidR="00B638A2" w:rsidRPr="00C4795A">
        <w:rPr>
          <w:rFonts w:ascii="Times New Roman" w:eastAsia="Scotch" w:hAnsi="Times New Roman" w:cs="Times New Roman"/>
          <w:sz w:val="24"/>
          <w:szCs w:val="24"/>
        </w:rPr>
        <w:t xml:space="preserve">nell’interesse delle parti con contestuale proposizione della </w:t>
      </w:r>
      <w:r w:rsidR="00B638A2" w:rsidRPr="00C4795A">
        <w:rPr>
          <w:rFonts w:ascii="Times New Roman" w:eastAsia="Scotch" w:hAnsi="Times New Roman" w:cs="Times New Roman"/>
          <w:i/>
          <w:iCs/>
          <w:sz w:val="24"/>
          <w:szCs w:val="24"/>
        </w:rPr>
        <w:t>quaestio</w:t>
      </w:r>
      <w:r w:rsidR="00B638A2" w:rsidRPr="00C4795A">
        <w:rPr>
          <w:rFonts w:ascii="Times New Roman" w:eastAsia="Scotch" w:hAnsi="Times New Roman" w:cs="Times New Roman"/>
          <w:sz w:val="24"/>
          <w:szCs w:val="24"/>
        </w:rPr>
        <w:t xml:space="preserve"> </w:t>
      </w:r>
      <w:r w:rsidR="00C86FB5" w:rsidRPr="00C4795A">
        <w:rPr>
          <w:rFonts w:ascii="Times New Roman" w:eastAsia="Scotch" w:hAnsi="Times New Roman" w:cs="Times New Roman"/>
          <w:sz w:val="24"/>
          <w:szCs w:val="24"/>
        </w:rPr>
        <w:t xml:space="preserve">nell’interesse ordinamentale </w:t>
      </w:r>
      <w:r w:rsidR="00B638A2" w:rsidRPr="00C4795A">
        <w:rPr>
          <w:rFonts w:ascii="Times New Roman" w:eastAsia="Scotch" w:hAnsi="Times New Roman" w:cs="Times New Roman"/>
          <w:sz w:val="24"/>
          <w:szCs w:val="24"/>
        </w:rPr>
        <w:t>assicura, infatti, la tutela dei diritti di matrice unionale; non preclude formalmente al giudice comune il ricorso al rinvio pregiudiziale, né prima della prospettazione dell’incidente, né in pendenza</w:t>
      </w:r>
      <w:r w:rsidR="00C86FB5" w:rsidRPr="00C4795A">
        <w:rPr>
          <w:rStyle w:val="Rimandonotaapidipagina"/>
          <w:rFonts w:ascii="Times New Roman" w:eastAsia="Scotch" w:hAnsi="Times New Roman" w:cs="Times New Roman"/>
          <w:sz w:val="24"/>
          <w:szCs w:val="24"/>
        </w:rPr>
        <w:footnoteReference w:id="92"/>
      </w:r>
      <w:r w:rsidR="00B638A2" w:rsidRPr="00C4795A">
        <w:rPr>
          <w:rFonts w:ascii="Times New Roman" w:eastAsia="Scotch" w:hAnsi="Times New Roman" w:cs="Times New Roman"/>
          <w:sz w:val="24"/>
          <w:szCs w:val="24"/>
        </w:rPr>
        <w:t xml:space="preserve"> o all’esito dello stesso, e anche sui medesimi profili già oggetto di scrutinio costituzionale, </w:t>
      </w:r>
      <w:r w:rsidR="00B638A2" w:rsidRPr="00C4795A">
        <w:rPr>
          <w:rFonts w:ascii="Times New Roman" w:eastAsia="Scotch" w:hAnsi="Times New Roman" w:cs="Times New Roman"/>
          <w:sz w:val="24"/>
          <w:szCs w:val="24"/>
        </w:rPr>
        <w:lastRenderedPageBreak/>
        <w:t>come è stato precisato – a parziale correzione della sentenza n. 269 del 2017 – a partire dalla sentenza n. 20 del 2019</w:t>
      </w:r>
      <w:r w:rsidR="00FE5759" w:rsidRPr="00C4795A">
        <w:rPr>
          <w:rStyle w:val="Rimandonotaapidipagina"/>
          <w:rFonts w:ascii="Times New Roman" w:eastAsia="Scotch" w:hAnsi="Times New Roman" w:cs="Times New Roman"/>
          <w:sz w:val="24"/>
          <w:szCs w:val="24"/>
        </w:rPr>
        <w:footnoteReference w:id="93"/>
      </w:r>
      <w:r w:rsidR="00B638A2" w:rsidRPr="00C4795A">
        <w:rPr>
          <w:rFonts w:ascii="Times New Roman" w:eastAsia="Scotch" w:hAnsi="Times New Roman" w:cs="Times New Roman"/>
          <w:sz w:val="24"/>
          <w:szCs w:val="24"/>
        </w:rPr>
        <w:t>.</w:t>
      </w:r>
    </w:p>
    <w:p w14:paraId="22165EBE" w14:textId="018E327E" w:rsidR="009C5EC4" w:rsidRPr="00C4795A" w:rsidRDefault="009C5EC4" w:rsidP="00FF3EEB">
      <w:pPr>
        <w:spacing w:after="0"/>
        <w:jc w:val="both"/>
        <w:rPr>
          <w:rFonts w:ascii="Times New Roman" w:hAnsi="Times New Roman" w:cs="Times New Roman"/>
          <w:sz w:val="24"/>
          <w:szCs w:val="24"/>
        </w:rPr>
      </w:pPr>
      <w:r w:rsidRPr="00C4795A">
        <w:rPr>
          <w:rFonts w:ascii="Times New Roman" w:eastAsia="Scotch" w:hAnsi="Times New Roman" w:cs="Times New Roman"/>
          <w:sz w:val="24"/>
          <w:szCs w:val="24"/>
        </w:rPr>
        <w:t xml:space="preserve">In definitiva, e conclusivamente, la disapplicazione </w:t>
      </w:r>
      <w:r w:rsidRPr="00C4795A">
        <w:rPr>
          <w:rFonts w:ascii="Times New Roman" w:eastAsia="Scotch" w:hAnsi="Times New Roman" w:cs="Times New Roman"/>
          <w:i/>
          <w:iCs/>
          <w:sz w:val="24"/>
          <w:szCs w:val="24"/>
        </w:rPr>
        <w:t>inter partes</w:t>
      </w:r>
      <w:r w:rsidRPr="00C4795A">
        <w:rPr>
          <w:rFonts w:ascii="Times New Roman" w:eastAsia="Scotch" w:hAnsi="Times New Roman" w:cs="Times New Roman"/>
          <w:sz w:val="24"/>
          <w:szCs w:val="24"/>
        </w:rPr>
        <w:t xml:space="preserve"> e la simultanea proposizione di una </w:t>
      </w:r>
      <w:proofErr w:type="spellStart"/>
      <w:r w:rsidRPr="00C4795A">
        <w:rPr>
          <w:rFonts w:ascii="Times New Roman" w:eastAsia="Scotch" w:hAnsi="Times New Roman" w:cs="Times New Roman"/>
          <w:sz w:val="24"/>
          <w:szCs w:val="24"/>
        </w:rPr>
        <w:t>q.l.c</w:t>
      </w:r>
      <w:proofErr w:type="spellEnd"/>
      <w:r w:rsidRPr="00C4795A">
        <w:rPr>
          <w:rFonts w:ascii="Times New Roman" w:eastAsia="Scotch" w:hAnsi="Times New Roman" w:cs="Times New Roman"/>
          <w:sz w:val="24"/>
          <w:szCs w:val="24"/>
        </w:rPr>
        <w:t xml:space="preserve">. nell’interesse dell’ordinamento </w:t>
      </w:r>
      <w:r w:rsidR="00471CB1" w:rsidRPr="00C4795A">
        <w:rPr>
          <w:rFonts w:ascii="Times New Roman" w:eastAsia="Scotch" w:hAnsi="Times New Roman" w:cs="Times New Roman"/>
          <w:sz w:val="24"/>
          <w:szCs w:val="24"/>
        </w:rPr>
        <w:t>darebbe corpo</w:t>
      </w:r>
      <w:r w:rsidRPr="00C4795A">
        <w:rPr>
          <w:rFonts w:ascii="Times New Roman" w:eastAsia="Scotch" w:hAnsi="Times New Roman" w:cs="Times New Roman"/>
          <w:sz w:val="24"/>
          <w:szCs w:val="24"/>
        </w:rPr>
        <w:t xml:space="preserve"> </w:t>
      </w:r>
      <w:r w:rsidR="00E17534" w:rsidRPr="00C4795A">
        <w:rPr>
          <w:rFonts w:ascii="Times New Roman" w:eastAsia="Scotch" w:hAnsi="Times New Roman" w:cs="Times New Roman"/>
          <w:sz w:val="24"/>
          <w:szCs w:val="24"/>
        </w:rPr>
        <w:t xml:space="preserve">a </w:t>
      </w:r>
      <w:r w:rsidRPr="00C4795A">
        <w:rPr>
          <w:rFonts w:ascii="Times New Roman" w:eastAsia="Scotch" w:hAnsi="Times New Roman" w:cs="Times New Roman"/>
          <w:sz w:val="24"/>
          <w:szCs w:val="24"/>
        </w:rPr>
        <w:t xml:space="preserve">un concorso davvero paritario, nella forma e nella sostanza, fra rimedi </w:t>
      </w:r>
      <w:r w:rsidRPr="00C4795A">
        <w:rPr>
          <w:rFonts w:ascii="Times New Roman" w:hAnsi="Times New Roman" w:cs="Times New Roman"/>
          <w:sz w:val="24"/>
          <w:szCs w:val="24"/>
        </w:rPr>
        <w:t>giurisdizionali interno e unionale</w:t>
      </w:r>
      <w:r w:rsidRPr="00C4795A">
        <w:rPr>
          <w:rStyle w:val="Rimandonotaapidipagina"/>
          <w:rFonts w:ascii="Times New Roman" w:hAnsi="Times New Roman" w:cs="Times New Roman"/>
          <w:sz w:val="24"/>
          <w:szCs w:val="24"/>
        </w:rPr>
        <w:footnoteReference w:id="94"/>
      </w:r>
      <w:r w:rsidRPr="00C4795A">
        <w:rPr>
          <w:rFonts w:ascii="Times New Roman" w:hAnsi="Times New Roman" w:cs="Times New Roman"/>
          <w:sz w:val="24"/>
          <w:szCs w:val="24"/>
        </w:rPr>
        <w:t xml:space="preserve">, anche nei casi in cui – difettando i presupposti e le condizioni per la tutela cautelare – non sia al giudice consentito dare provvisoria attuazione al diritto unionale dotato di efficacia diretta in attesa del pronunciamento della Corte costituzionale. Si consentirebbe al giudice comune, </w:t>
      </w:r>
      <w:r w:rsidRPr="00C4795A">
        <w:rPr>
          <w:rFonts w:ascii="Times New Roman" w:eastAsia="Scotch" w:hAnsi="Times New Roman" w:cs="Times New Roman"/>
          <w:sz w:val="24"/>
          <w:szCs w:val="24"/>
        </w:rPr>
        <w:t xml:space="preserve">senza imbarazzi o conflitti di lealtà, </w:t>
      </w:r>
      <w:r w:rsidRPr="00C4795A">
        <w:rPr>
          <w:rFonts w:ascii="Times New Roman" w:hAnsi="Times New Roman" w:cs="Times New Roman"/>
          <w:sz w:val="24"/>
          <w:szCs w:val="24"/>
        </w:rPr>
        <w:t>di continuare a garant</w:t>
      </w:r>
      <w:r w:rsidR="005C475E" w:rsidRPr="00C4795A">
        <w:rPr>
          <w:rFonts w:ascii="Times New Roman" w:hAnsi="Times New Roman" w:cs="Times New Roman"/>
          <w:sz w:val="24"/>
          <w:szCs w:val="24"/>
        </w:rPr>
        <w:t>ir</w:t>
      </w:r>
      <w:r w:rsidRPr="00C4795A">
        <w:rPr>
          <w:rFonts w:ascii="Times New Roman" w:hAnsi="Times New Roman" w:cs="Times New Roman"/>
          <w:sz w:val="24"/>
          <w:szCs w:val="24"/>
        </w:rPr>
        <w:t>e l’uniforme applicazione del diritto unionale</w:t>
      </w:r>
      <w:r w:rsidR="00307F79" w:rsidRPr="00C4795A">
        <w:rPr>
          <w:rFonts w:ascii="Times New Roman" w:hAnsi="Times New Roman" w:cs="Times New Roman"/>
          <w:sz w:val="24"/>
          <w:szCs w:val="24"/>
        </w:rPr>
        <w:t xml:space="preserve"> e ad</w:t>
      </w:r>
      <w:r w:rsidRPr="00C4795A">
        <w:rPr>
          <w:rFonts w:ascii="Times New Roman" w:hAnsi="Times New Roman" w:cs="Times New Roman"/>
          <w:sz w:val="24"/>
          <w:szCs w:val="24"/>
        </w:rPr>
        <w:t xml:space="preserve"> eroga</w:t>
      </w:r>
      <w:r w:rsidR="00307F79" w:rsidRPr="00C4795A">
        <w:rPr>
          <w:rFonts w:ascii="Times New Roman" w:hAnsi="Times New Roman" w:cs="Times New Roman"/>
          <w:sz w:val="24"/>
          <w:szCs w:val="24"/>
        </w:rPr>
        <w:t>re</w:t>
      </w:r>
      <w:r w:rsidRPr="00C4795A">
        <w:rPr>
          <w:rFonts w:ascii="Times New Roman" w:hAnsi="Times New Roman" w:cs="Times New Roman"/>
          <w:sz w:val="24"/>
          <w:szCs w:val="24"/>
        </w:rPr>
        <w:t xml:space="preserve"> la tutela soggettiva derivante da quel diritto, senza compromettere la funzione </w:t>
      </w:r>
      <w:r w:rsidR="00CA3A7C" w:rsidRPr="00C4795A">
        <w:rPr>
          <w:rFonts w:ascii="Times New Roman" w:hAnsi="Times New Roman" w:cs="Times New Roman"/>
          <w:sz w:val="24"/>
          <w:szCs w:val="24"/>
        </w:rPr>
        <w:t xml:space="preserve">ordinamentale </w:t>
      </w:r>
      <w:r w:rsidR="00C3211B" w:rsidRPr="00C4795A">
        <w:rPr>
          <w:rFonts w:ascii="Times New Roman" w:hAnsi="Times New Roman" w:cs="Times New Roman"/>
          <w:sz w:val="24"/>
          <w:szCs w:val="24"/>
        </w:rPr>
        <w:t>assegna</w:t>
      </w:r>
      <w:r w:rsidR="00CA3A7C" w:rsidRPr="00C4795A">
        <w:rPr>
          <w:rFonts w:ascii="Times New Roman" w:hAnsi="Times New Roman" w:cs="Times New Roman"/>
          <w:sz w:val="24"/>
          <w:szCs w:val="24"/>
        </w:rPr>
        <w:t>tagli</w:t>
      </w:r>
      <w:r w:rsidR="00C3211B" w:rsidRPr="00C4795A">
        <w:rPr>
          <w:rFonts w:ascii="Times New Roman" w:hAnsi="Times New Roman" w:cs="Times New Roman"/>
          <w:sz w:val="24"/>
          <w:szCs w:val="24"/>
        </w:rPr>
        <w:t xml:space="preserve"> di </w:t>
      </w:r>
      <w:r w:rsidRPr="00C4795A">
        <w:rPr>
          <w:rFonts w:ascii="Times New Roman" w:hAnsi="Times New Roman" w:cs="Times New Roman"/>
          <w:sz w:val="24"/>
          <w:szCs w:val="24"/>
        </w:rPr>
        <w:t>attivare il sindacato accentrato</w:t>
      </w:r>
      <w:r w:rsidR="0067038D" w:rsidRPr="00C4795A">
        <w:rPr>
          <w:rFonts w:ascii="Times New Roman" w:hAnsi="Times New Roman" w:cs="Times New Roman"/>
          <w:sz w:val="24"/>
          <w:szCs w:val="24"/>
        </w:rPr>
        <w:t xml:space="preserve"> e di </w:t>
      </w:r>
      <w:r w:rsidRPr="00C4795A">
        <w:rPr>
          <w:rFonts w:ascii="Times New Roman" w:hAnsi="Times New Roman" w:cs="Times New Roman"/>
          <w:sz w:val="24"/>
          <w:szCs w:val="24"/>
        </w:rPr>
        <w:t>rende</w:t>
      </w:r>
      <w:r w:rsidR="0067038D" w:rsidRPr="00C4795A">
        <w:rPr>
          <w:rFonts w:ascii="Times New Roman" w:hAnsi="Times New Roman" w:cs="Times New Roman"/>
          <w:sz w:val="24"/>
          <w:szCs w:val="24"/>
        </w:rPr>
        <w:t>re</w:t>
      </w:r>
      <w:r w:rsidR="00220503" w:rsidRPr="00C4795A">
        <w:rPr>
          <w:rFonts w:ascii="Times New Roman" w:hAnsi="Times New Roman" w:cs="Times New Roman"/>
          <w:sz w:val="24"/>
          <w:szCs w:val="24"/>
        </w:rPr>
        <w:t>, così,</w:t>
      </w:r>
      <w:r w:rsidR="0067038D" w:rsidRPr="00C4795A">
        <w:rPr>
          <w:rFonts w:ascii="Times New Roman" w:hAnsi="Times New Roman" w:cs="Times New Roman"/>
          <w:sz w:val="24"/>
          <w:szCs w:val="24"/>
        </w:rPr>
        <w:t xml:space="preserve"> </w:t>
      </w:r>
      <w:r w:rsidR="00FE72D9" w:rsidRPr="00C4795A">
        <w:rPr>
          <w:rFonts w:ascii="Times New Roman" w:hAnsi="Times New Roman" w:cs="Times New Roman"/>
          <w:sz w:val="24"/>
          <w:szCs w:val="24"/>
        </w:rPr>
        <w:t xml:space="preserve">effettivo </w:t>
      </w:r>
      <w:r w:rsidRPr="00C4795A">
        <w:rPr>
          <w:rFonts w:ascii="Times New Roman" w:hAnsi="Times New Roman" w:cs="Times New Roman"/>
          <w:sz w:val="24"/>
          <w:szCs w:val="24"/>
        </w:rPr>
        <w:t>il principio di costituzionalità.</w:t>
      </w:r>
    </w:p>
    <w:p w14:paraId="54965422" w14:textId="77777777" w:rsidR="009C5EC4" w:rsidRPr="00C4795A" w:rsidRDefault="009C5EC4" w:rsidP="00E76AA4">
      <w:pPr>
        <w:jc w:val="both"/>
        <w:rPr>
          <w:rFonts w:ascii="Times New Roman" w:hAnsi="Times New Roman" w:cs="Times New Roman"/>
          <w:sz w:val="24"/>
          <w:szCs w:val="24"/>
        </w:rPr>
      </w:pPr>
    </w:p>
    <w:p w14:paraId="6D2460B2" w14:textId="62A519A6" w:rsidR="00302DF4" w:rsidRPr="00C4795A" w:rsidRDefault="00302DF4" w:rsidP="00E61659">
      <w:pPr>
        <w:jc w:val="both"/>
        <w:rPr>
          <w:rFonts w:ascii="Times New Roman" w:hAnsi="Times New Roman" w:cs="Times New Roman"/>
          <w:sz w:val="24"/>
          <w:szCs w:val="24"/>
        </w:rPr>
      </w:pPr>
    </w:p>
    <w:bookmarkEnd w:id="4"/>
    <w:p w14:paraId="35F3DAB9" w14:textId="79468D41" w:rsidR="007E7C56" w:rsidRPr="00C4795A" w:rsidRDefault="007E7C56" w:rsidP="005F55B6">
      <w:pPr>
        <w:rPr>
          <w:rFonts w:ascii="Times New Roman" w:hAnsi="Times New Roman" w:cs="Times New Roman"/>
          <w:sz w:val="24"/>
          <w:szCs w:val="24"/>
          <w:highlight w:val="cyan"/>
        </w:rPr>
      </w:pPr>
    </w:p>
    <w:sectPr w:rsidR="007E7C56" w:rsidRPr="00C4795A" w:rsidSect="0007693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D56F" w14:textId="77777777" w:rsidR="00C91B37" w:rsidRDefault="00C91B37" w:rsidP="00BF4E75">
      <w:pPr>
        <w:spacing w:after="0" w:line="240" w:lineRule="auto"/>
      </w:pPr>
      <w:r>
        <w:separator/>
      </w:r>
    </w:p>
  </w:endnote>
  <w:endnote w:type="continuationSeparator" w:id="0">
    <w:p w14:paraId="12CC0AB8" w14:textId="77777777" w:rsidR="00C91B37" w:rsidRDefault="00C91B37" w:rsidP="00BF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cotc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7526"/>
      <w:docPartObj>
        <w:docPartGallery w:val="Page Numbers (Bottom of Page)"/>
        <w:docPartUnique/>
      </w:docPartObj>
    </w:sdtPr>
    <w:sdtEndPr/>
    <w:sdtContent>
      <w:p w14:paraId="4DBDD9C2" w14:textId="5A327D2C" w:rsidR="008347DF" w:rsidRDefault="008347DF">
        <w:pPr>
          <w:pStyle w:val="Pidipagina"/>
          <w:jc w:val="right"/>
        </w:pPr>
        <w:r>
          <w:fldChar w:fldCharType="begin"/>
        </w:r>
        <w:r>
          <w:instrText>PAGE   \* MERGEFORMAT</w:instrText>
        </w:r>
        <w:r>
          <w:fldChar w:fldCharType="separate"/>
        </w:r>
        <w:r>
          <w:t>2</w:t>
        </w:r>
        <w:r>
          <w:fldChar w:fldCharType="end"/>
        </w:r>
      </w:p>
    </w:sdtContent>
  </w:sdt>
  <w:p w14:paraId="67CED50A" w14:textId="77777777" w:rsidR="008347DF" w:rsidRDefault="008347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3B74" w14:textId="77777777" w:rsidR="00C91B37" w:rsidRDefault="00C91B37" w:rsidP="00BF4E75">
      <w:pPr>
        <w:spacing w:after="0" w:line="240" w:lineRule="auto"/>
      </w:pPr>
      <w:r>
        <w:separator/>
      </w:r>
    </w:p>
  </w:footnote>
  <w:footnote w:type="continuationSeparator" w:id="0">
    <w:p w14:paraId="5EC85416" w14:textId="77777777" w:rsidR="00C91B37" w:rsidRDefault="00C91B37" w:rsidP="00BF4E75">
      <w:pPr>
        <w:spacing w:after="0" w:line="240" w:lineRule="auto"/>
      </w:pPr>
      <w:r>
        <w:continuationSeparator/>
      </w:r>
    </w:p>
  </w:footnote>
  <w:footnote w:id="1">
    <w:p w14:paraId="2F34FB6D" w14:textId="2CA79DAA" w:rsidR="000E39B0" w:rsidRPr="00123A4F" w:rsidRDefault="000E39B0"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Testo definitivo della Relazione tenuta nell’incontro di studio ‘Dialogo tra le Corti’ presso la Biblioteca della Corte costituzionale </w:t>
      </w:r>
      <w:r w:rsidR="00312162" w:rsidRPr="00123A4F">
        <w:rPr>
          <w:rFonts w:ascii="Times New Roman" w:hAnsi="Times New Roman" w:cs="Times New Roman"/>
        </w:rPr>
        <w:t>il</w:t>
      </w:r>
      <w:r w:rsidRPr="00123A4F">
        <w:rPr>
          <w:rFonts w:ascii="Times New Roman" w:hAnsi="Times New Roman" w:cs="Times New Roman"/>
        </w:rPr>
        <w:t xml:space="preserve"> 12 gennaio 2026.</w:t>
      </w:r>
    </w:p>
  </w:footnote>
  <w:footnote w:id="2">
    <w:p w14:paraId="4D2A5572" w14:textId="6F316860" w:rsidR="00DE0983" w:rsidRPr="00123A4F" w:rsidRDefault="00DE0983"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9718F" w:rsidRPr="00123A4F">
        <w:rPr>
          <w:rFonts w:ascii="Times New Roman" w:hAnsi="Times New Roman" w:cs="Times New Roman"/>
        </w:rPr>
        <w:t xml:space="preserve">V. </w:t>
      </w:r>
      <w:r w:rsidR="00F9718F" w:rsidRPr="00123A4F">
        <w:rPr>
          <w:rFonts w:ascii="Times New Roman" w:hAnsi="Times New Roman" w:cs="Times New Roman"/>
          <w:i/>
          <w:iCs/>
        </w:rPr>
        <w:t>Paradosso</w:t>
      </w:r>
      <w:r w:rsidR="00F9718F" w:rsidRPr="00123A4F">
        <w:rPr>
          <w:rFonts w:ascii="Times New Roman" w:hAnsi="Times New Roman" w:cs="Times New Roman"/>
        </w:rPr>
        <w:t xml:space="preserve"> in </w:t>
      </w:r>
      <w:r w:rsidR="00F9718F" w:rsidRPr="00123A4F">
        <w:rPr>
          <w:rFonts w:ascii="Times New Roman" w:hAnsi="Times New Roman" w:cs="Times New Roman"/>
          <w:i/>
          <w:iCs/>
        </w:rPr>
        <w:t xml:space="preserve">Enciclopedia </w:t>
      </w:r>
      <w:r w:rsidR="00F9718F" w:rsidRPr="00123A4F">
        <w:rPr>
          <w:rFonts w:ascii="Times New Roman" w:hAnsi="Times New Roman" w:cs="Times New Roman"/>
        </w:rPr>
        <w:t>on line</w:t>
      </w:r>
      <w:r w:rsidR="00F9718F" w:rsidRPr="00123A4F">
        <w:rPr>
          <w:rFonts w:ascii="Times New Roman" w:hAnsi="Times New Roman" w:cs="Times New Roman"/>
          <w:i/>
          <w:iCs/>
        </w:rPr>
        <w:t xml:space="preserve"> Treccani</w:t>
      </w:r>
      <w:r w:rsidR="00F9718F" w:rsidRPr="00123A4F">
        <w:rPr>
          <w:rFonts w:ascii="Times New Roman" w:hAnsi="Times New Roman" w:cs="Times New Roman"/>
        </w:rPr>
        <w:t xml:space="preserve">, Istituto della Enciclopedia Italiana, consultabile al seguente </w:t>
      </w:r>
      <w:r w:rsidR="00F9718F" w:rsidRPr="00123A4F">
        <w:rPr>
          <w:rFonts w:ascii="Times New Roman" w:hAnsi="Times New Roman" w:cs="Times New Roman"/>
          <w:i/>
          <w:iCs/>
        </w:rPr>
        <w:t>link</w:t>
      </w:r>
      <w:r w:rsidR="00F9718F" w:rsidRPr="00123A4F">
        <w:rPr>
          <w:rFonts w:ascii="Times New Roman" w:hAnsi="Times New Roman" w:cs="Times New Roman"/>
        </w:rPr>
        <w:t xml:space="preserve">: </w:t>
      </w:r>
      <w:r w:rsidRPr="00123A4F">
        <w:rPr>
          <w:rFonts w:ascii="Times New Roman" w:hAnsi="Times New Roman" w:cs="Times New Roman"/>
        </w:rPr>
        <w:t>https://www.treccani.it/enciclopedia/paradosso/?search=paradosso%2F.</w:t>
      </w:r>
    </w:p>
  </w:footnote>
  <w:footnote w:id="3">
    <w:p w14:paraId="3A1A4A10" w14:textId="77777777" w:rsidR="00FF3EEB" w:rsidRPr="00123A4F" w:rsidRDefault="00FF3EEB" w:rsidP="00F9718F">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Pr="00123A4F">
        <w:rPr>
          <w:rFonts w:ascii="Times New Roman" w:hAnsi="Times New Roman" w:cs="Times New Roman"/>
          <w:smallCaps/>
        </w:rPr>
        <w:t>G. Scaccia</w:t>
      </w:r>
      <w:r w:rsidRPr="00123A4F">
        <w:rPr>
          <w:rFonts w:ascii="Times New Roman" w:hAnsi="Times New Roman" w:cs="Times New Roman"/>
        </w:rPr>
        <w:t xml:space="preserve">, </w:t>
      </w:r>
      <w:r w:rsidRPr="00123A4F">
        <w:rPr>
          <w:rFonts w:ascii="Times New Roman" w:hAnsi="Times New Roman" w:cs="Times New Roman"/>
          <w:i/>
        </w:rPr>
        <w:t>Diritti fondamentali, legislazione e giurisdizione. Scritti scelti</w:t>
      </w:r>
      <w:r w:rsidRPr="00123A4F">
        <w:rPr>
          <w:rFonts w:ascii="Times New Roman" w:hAnsi="Times New Roman" w:cs="Times New Roman"/>
        </w:rPr>
        <w:t xml:space="preserve">, Napoli, 2024, p. 19 ss. </w:t>
      </w:r>
    </w:p>
  </w:footnote>
  <w:footnote w:id="4">
    <w:p w14:paraId="107B5761" w14:textId="4109D4E5" w:rsidR="008E3EE7" w:rsidRPr="00123A4F" w:rsidRDefault="008E3EE7"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0052014F" w:rsidRPr="00123A4F">
        <w:rPr>
          <w:rFonts w:ascii="Times New Roman" w:hAnsi="Times New Roman" w:cs="Times New Roman"/>
        </w:rPr>
        <w:t xml:space="preserve"> </w:t>
      </w:r>
      <w:r w:rsidRPr="00123A4F">
        <w:rPr>
          <w:rFonts w:ascii="Times New Roman" w:hAnsi="Times New Roman" w:cs="Times New Roman"/>
        </w:rPr>
        <w:t>Sul rapporto tra Corte costituzionale e politica</w:t>
      </w:r>
      <w:r w:rsidR="00DB786E" w:rsidRPr="00123A4F">
        <w:rPr>
          <w:rFonts w:ascii="Times New Roman" w:hAnsi="Times New Roman" w:cs="Times New Roman"/>
        </w:rPr>
        <w:t xml:space="preserve"> la letteratura </w:t>
      </w:r>
      <w:r w:rsidRPr="00123A4F">
        <w:rPr>
          <w:rFonts w:ascii="Times New Roman" w:hAnsi="Times New Roman" w:cs="Times New Roman"/>
        </w:rPr>
        <w:t>è</w:t>
      </w:r>
      <w:r w:rsidR="00DB786E" w:rsidRPr="00123A4F">
        <w:rPr>
          <w:rFonts w:ascii="Times New Roman" w:hAnsi="Times New Roman" w:cs="Times New Roman"/>
        </w:rPr>
        <w:t xml:space="preserve"> sterminata</w:t>
      </w:r>
      <w:r w:rsidR="008223E4" w:rsidRPr="00123A4F">
        <w:rPr>
          <w:rFonts w:ascii="Times New Roman" w:hAnsi="Times New Roman" w:cs="Times New Roman"/>
        </w:rPr>
        <w:t xml:space="preserve">. Riferimenti </w:t>
      </w:r>
      <w:r w:rsidR="000B7BCE" w:rsidRPr="00123A4F">
        <w:rPr>
          <w:rFonts w:ascii="Times New Roman" w:hAnsi="Times New Roman" w:cs="Times New Roman"/>
        </w:rPr>
        <w:t xml:space="preserve">teorici </w:t>
      </w:r>
      <w:r w:rsidR="008618C1" w:rsidRPr="00123A4F">
        <w:rPr>
          <w:rFonts w:ascii="Times New Roman" w:hAnsi="Times New Roman" w:cs="Times New Roman"/>
        </w:rPr>
        <w:t xml:space="preserve">essenziali e </w:t>
      </w:r>
      <w:r w:rsidR="00F0376E" w:rsidRPr="00123A4F">
        <w:rPr>
          <w:rFonts w:ascii="Times New Roman" w:hAnsi="Times New Roman" w:cs="Times New Roman"/>
        </w:rPr>
        <w:t xml:space="preserve">imprescindibili </w:t>
      </w:r>
      <w:r w:rsidR="00A93FE1" w:rsidRPr="00123A4F">
        <w:rPr>
          <w:rFonts w:ascii="Times New Roman" w:hAnsi="Times New Roman" w:cs="Times New Roman"/>
        </w:rPr>
        <w:t>possono trovarsi</w:t>
      </w:r>
      <w:r w:rsidRPr="00123A4F">
        <w:rPr>
          <w:rFonts w:ascii="Times New Roman" w:hAnsi="Times New Roman" w:cs="Times New Roman"/>
        </w:rPr>
        <w:t xml:space="preserve"> </w:t>
      </w:r>
      <w:r w:rsidR="000B7BCE" w:rsidRPr="00123A4F">
        <w:rPr>
          <w:rFonts w:ascii="Times New Roman" w:hAnsi="Times New Roman" w:cs="Times New Roman"/>
        </w:rPr>
        <w:t>in</w:t>
      </w:r>
      <w:r w:rsidRPr="00123A4F">
        <w:rPr>
          <w:rFonts w:ascii="Times New Roman" w:hAnsi="Times New Roman" w:cs="Times New Roman"/>
        </w:rPr>
        <w:t xml:space="preserve"> </w:t>
      </w:r>
      <w:r w:rsidRPr="00123A4F">
        <w:rPr>
          <w:rFonts w:ascii="Times New Roman" w:hAnsi="Times New Roman" w:cs="Times New Roman"/>
          <w:smallCaps/>
        </w:rPr>
        <w:t>H. Kelsen</w:t>
      </w:r>
      <w:r w:rsidRPr="00123A4F">
        <w:rPr>
          <w:rFonts w:ascii="Times New Roman" w:hAnsi="Times New Roman" w:cs="Times New Roman"/>
        </w:rPr>
        <w:t xml:space="preserve">, </w:t>
      </w:r>
      <w:r w:rsidRPr="00123A4F">
        <w:rPr>
          <w:rFonts w:ascii="Times New Roman" w:hAnsi="Times New Roman" w:cs="Times New Roman"/>
          <w:i/>
          <w:iCs/>
        </w:rPr>
        <w:t>La giustizia costituzionale</w:t>
      </w:r>
      <w:r w:rsidRPr="00123A4F">
        <w:rPr>
          <w:rFonts w:ascii="Times New Roman" w:hAnsi="Times New Roman" w:cs="Times New Roman"/>
        </w:rPr>
        <w:t xml:space="preserve">, trad. </w:t>
      </w:r>
      <w:proofErr w:type="spellStart"/>
      <w:r w:rsidRPr="00123A4F">
        <w:rPr>
          <w:rFonts w:ascii="Times New Roman" w:hAnsi="Times New Roman" w:cs="Times New Roman"/>
        </w:rPr>
        <w:t>it</w:t>
      </w:r>
      <w:proofErr w:type="spellEnd"/>
      <w:r w:rsidRPr="00123A4F">
        <w:rPr>
          <w:rFonts w:ascii="Times New Roman" w:hAnsi="Times New Roman" w:cs="Times New Roman"/>
        </w:rPr>
        <w:t>., a cura di C. Geraci, Milano, 1981, spec. p. 171 ss. nonché p. 231 ss.</w:t>
      </w:r>
      <w:r w:rsidR="008D5118" w:rsidRPr="00123A4F">
        <w:rPr>
          <w:rFonts w:ascii="Times New Roman" w:hAnsi="Times New Roman" w:cs="Times New Roman"/>
        </w:rPr>
        <w:t>;</w:t>
      </w:r>
      <w:r w:rsidRPr="00123A4F">
        <w:rPr>
          <w:rFonts w:ascii="Times New Roman" w:hAnsi="Times New Roman" w:cs="Times New Roman"/>
        </w:rPr>
        <w:t xml:space="preserve"> </w:t>
      </w:r>
      <w:r w:rsidRPr="00123A4F">
        <w:rPr>
          <w:rFonts w:ascii="Times New Roman" w:hAnsi="Times New Roman" w:cs="Times New Roman"/>
          <w:smallCaps/>
        </w:rPr>
        <w:t>C. Mezzanotte</w:t>
      </w:r>
      <w:r w:rsidRPr="00123A4F">
        <w:rPr>
          <w:rFonts w:ascii="Times New Roman" w:hAnsi="Times New Roman" w:cs="Times New Roman"/>
        </w:rPr>
        <w:t xml:space="preserve">, </w:t>
      </w:r>
      <w:r w:rsidRPr="00123A4F">
        <w:rPr>
          <w:rFonts w:ascii="Times New Roman" w:hAnsi="Times New Roman" w:cs="Times New Roman"/>
          <w:i/>
          <w:iCs/>
        </w:rPr>
        <w:t>Corte costituzionale e legittimazione politica</w:t>
      </w:r>
      <w:r w:rsidRPr="00123A4F">
        <w:rPr>
          <w:rFonts w:ascii="Times New Roman" w:hAnsi="Times New Roman" w:cs="Times New Roman"/>
        </w:rPr>
        <w:t>, Roma, 1984</w:t>
      </w:r>
      <w:r w:rsidR="0036623D" w:rsidRPr="00123A4F">
        <w:rPr>
          <w:rFonts w:ascii="Times New Roman" w:hAnsi="Times New Roman" w:cs="Times New Roman"/>
        </w:rPr>
        <w:t xml:space="preserve">; </w:t>
      </w:r>
      <w:r w:rsidRPr="00123A4F">
        <w:rPr>
          <w:rFonts w:ascii="Times New Roman" w:hAnsi="Times New Roman" w:cs="Times New Roman"/>
          <w:smallCaps/>
        </w:rPr>
        <w:t>F. Modugno</w:t>
      </w:r>
      <w:r w:rsidRPr="00123A4F">
        <w:rPr>
          <w:rFonts w:ascii="Times New Roman" w:hAnsi="Times New Roman" w:cs="Times New Roman"/>
        </w:rPr>
        <w:t xml:space="preserve">, </w:t>
      </w:r>
      <w:r w:rsidRPr="00123A4F">
        <w:rPr>
          <w:rFonts w:ascii="Times New Roman" w:hAnsi="Times New Roman" w:cs="Times New Roman"/>
          <w:i/>
          <w:iCs/>
        </w:rPr>
        <w:t>Corte costituzionale e potere legislativo</w:t>
      </w:r>
      <w:r w:rsidRPr="00123A4F">
        <w:rPr>
          <w:rFonts w:ascii="Times New Roman" w:hAnsi="Times New Roman" w:cs="Times New Roman"/>
        </w:rPr>
        <w:t xml:space="preserve">, in </w:t>
      </w:r>
      <w:r w:rsidRPr="00123A4F">
        <w:rPr>
          <w:rFonts w:ascii="Times New Roman" w:hAnsi="Times New Roman" w:cs="Times New Roman"/>
          <w:smallCaps/>
        </w:rPr>
        <w:t>P. Barile, E. Cheli, S. Grassi</w:t>
      </w:r>
      <w:r w:rsidRPr="00123A4F">
        <w:rPr>
          <w:rFonts w:ascii="Times New Roman" w:hAnsi="Times New Roman" w:cs="Times New Roman"/>
        </w:rPr>
        <w:t xml:space="preserve"> (a cura di), </w:t>
      </w:r>
      <w:r w:rsidRPr="00123A4F">
        <w:rPr>
          <w:rFonts w:ascii="Times New Roman" w:hAnsi="Times New Roman" w:cs="Times New Roman"/>
          <w:i/>
          <w:iCs/>
        </w:rPr>
        <w:t>Corte costituzionale e sviluppo della forma di governo in Italia</w:t>
      </w:r>
      <w:r w:rsidRPr="00123A4F">
        <w:rPr>
          <w:rFonts w:ascii="Times New Roman" w:hAnsi="Times New Roman" w:cs="Times New Roman"/>
        </w:rPr>
        <w:t xml:space="preserve">, Bologna, 1982, p. 19 ss., </w:t>
      </w:r>
      <w:r w:rsidRPr="00123A4F">
        <w:rPr>
          <w:rFonts w:ascii="Times New Roman" w:hAnsi="Times New Roman" w:cs="Times New Roman"/>
          <w:smallCaps/>
        </w:rPr>
        <w:t>A.M. Sandulli</w:t>
      </w:r>
      <w:r w:rsidRPr="00123A4F">
        <w:rPr>
          <w:rFonts w:ascii="Times New Roman" w:hAnsi="Times New Roman" w:cs="Times New Roman"/>
        </w:rPr>
        <w:t xml:space="preserve">, </w:t>
      </w:r>
      <w:r w:rsidRPr="00123A4F">
        <w:rPr>
          <w:rFonts w:ascii="Times New Roman" w:hAnsi="Times New Roman" w:cs="Times New Roman"/>
          <w:i/>
          <w:iCs/>
        </w:rPr>
        <w:t>La Corte e la politica</w:t>
      </w:r>
      <w:r w:rsidRPr="00123A4F">
        <w:rPr>
          <w:rFonts w:ascii="Times New Roman" w:hAnsi="Times New Roman" w:cs="Times New Roman"/>
        </w:rPr>
        <w:t xml:space="preserve">, in </w:t>
      </w:r>
      <w:r w:rsidRPr="00123A4F">
        <w:rPr>
          <w:rFonts w:ascii="Times New Roman" w:hAnsi="Times New Roman" w:cs="Times New Roman"/>
          <w:i/>
          <w:iCs/>
        </w:rPr>
        <w:t xml:space="preserve">Dir. </w:t>
      </w:r>
      <w:proofErr w:type="spellStart"/>
      <w:r w:rsidRPr="00123A4F">
        <w:rPr>
          <w:rFonts w:ascii="Times New Roman" w:hAnsi="Times New Roman" w:cs="Times New Roman"/>
          <w:i/>
          <w:iCs/>
        </w:rPr>
        <w:t>soc</w:t>
      </w:r>
      <w:proofErr w:type="spellEnd"/>
      <w:r w:rsidRPr="00123A4F">
        <w:rPr>
          <w:rFonts w:ascii="Times New Roman" w:hAnsi="Times New Roman" w:cs="Times New Roman"/>
          <w:i/>
          <w:iCs/>
        </w:rPr>
        <w:t>.</w:t>
      </w:r>
      <w:r w:rsidRPr="00123A4F">
        <w:rPr>
          <w:rFonts w:ascii="Times New Roman" w:hAnsi="Times New Roman" w:cs="Times New Roman"/>
        </w:rPr>
        <w:t>, 1983, p. 393 ss.</w:t>
      </w:r>
    </w:p>
  </w:footnote>
  <w:footnote w:id="5">
    <w:p w14:paraId="1D981871" w14:textId="77777777" w:rsidR="00FF3EEB" w:rsidRPr="00123A4F" w:rsidRDefault="00FF3EEB" w:rsidP="008E3EE7">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Per uno svolgimento argomentativo del tema sia consentito sul punto il rinvio a </w:t>
      </w:r>
      <w:r w:rsidRPr="00123A4F">
        <w:rPr>
          <w:rFonts w:ascii="Times New Roman" w:hAnsi="Times New Roman" w:cs="Times New Roman"/>
          <w:smallCaps/>
        </w:rPr>
        <w:t>G. Scaccia</w:t>
      </w:r>
      <w:r w:rsidRPr="00123A4F">
        <w:rPr>
          <w:rFonts w:ascii="Times New Roman" w:hAnsi="Times New Roman" w:cs="Times New Roman"/>
        </w:rPr>
        <w:t xml:space="preserve">, </w:t>
      </w:r>
      <w:r w:rsidRPr="00123A4F">
        <w:rPr>
          <w:rFonts w:ascii="Times New Roman" w:hAnsi="Times New Roman" w:cs="Times New Roman"/>
          <w:i/>
          <w:iCs/>
        </w:rPr>
        <w:t>Legge e diritti fondamentali nell’art. 117 della Costituzione</w:t>
      </w:r>
      <w:r w:rsidRPr="00123A4F">
        <w:rPr>
          <w:rFonts w:ascii="Times New Roman" w:hAnsi="Times New Roman" w:cs="Times New Roman"/>
        </w:rPr>
        <w:t xml:space="preserve">, in </w:t>
      </w:r>
      <w:r w:rsidRPr="00123A4F">
        <w:rPr>
          <w:rFonts w:ascii="Times New Roman" w:hAnsi="Times New Roman" w:cs="Times New Roman"/>
          <w:i/>
          <w:iCs/>
        </w:rPr>
        <w:t>Quaderni costituzionali</w:t>
      </w:r>
      <w:r w:rsidRPr="00123A4F">
        <w:rPr>
          <w:rFonts w:ascii="Times New Roman" w:hAnsi="Times New Roman" w:cs="Times New Roman"/>
        </w:rPr>
        <w:t>, 2003, 3, p. 531 ss.</w:t>
      </w:r>
    </w:p>
  </w:footnote>
  <w:footnote w:id="6">
    <w:p w14:paraId="6EEE5C3F" w14:textId="77777777" w:rsidR="00FF3EEB" w:rsidRPr="00123A4F" w:rsidRDefault="00FF3EEB" w:rsidP="008E3EE7">
      <w:pPr>
        <w:spacing w:after="0" w:line="240" w:lineRule="auto"/>
        <w:jc w:val="both"/>
        <w:rPr>
          <w:rFonts w:ascii="Times New Roman" w:hAnsi="Times New Roman" w:cs="Times New Roman"/>
          <w:sz w:val="20"/>
          <w:szCs w:val="20"/>
        </w:rPr>
      </w:pPr>
      <w:r w:rsidRPr="00123A4F">
        <w:rPr>
          <w:rStyle w:val="Rimandonotaapidipagina"/>
          <w:rFonts w:ascii="Times New Roman" w:hAnsi="Times New Roman" w:cs="Times New Roman"/>
          <w:sz w:val="20"/>
          <w:szCs w:val="20"/>
        </w:rPr>
        <w:footnoteRef/>
      </w:r>
      <w:r w:rsidRPr="00123A4F">
        <w:rPr>
          <w:rFonts w:ascii="Times New Roman" w:hAnsi="Times New Roman" w:cs="Times New Roman"/>
          <w:sz w:val="20"/>
          <w:szCs w:val="20"/>
        </w:rPr>
        <w:t xml:space="preserve"> Sia ancora consentito il rinvio a </w:t>
      </w:r>
      <w:r w:rsidRPr="00123A4F">
        <w:rPr>
          <w:rFonts w:ascii="Times New Roman" w:hAnsi="Times New Roman" w:cs="Times New Roman"/>
          <w:smallCaps/>
          <w:sz w:val="20"/>
          <w:szCs w:val="20"/>
        </w:rPr>
        <w:t>G. Scaccia</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Diritti fondamentali,</w:t>
      </w:r>
      <w:r w:rsidRPr="00123A4F">
        <w:rPr>
          <w:rFonts w:ascii="Times New Roman" w:hAnsi="Times New Roman" w:cs="Times New Roman"/>
          <w:sz w:val="20"/>
          <w:szCs w:val="20"/>
        </w:rPr>
        <w:t xml:space="preserve"> op. cit., p. 118: ove si è provato a evidenziare che «[l]a lettura tendenzialmente individualista delle Corti europee, che declina i diritti come prerogative del singolo, più che della persona come parte di una comunità politica, va bilanciata con la lettura interna (cioè costituzionalmente orientata) che richiede di custodire e tenere insieme libertà individuali e vincoli comunitari, aspettative di tutela soggettiva e principi organizzativi che di quei vincoli collettivi sono espressione (riserva di legge, separazione dei poteri, principio di legalità, fra gli altri)». </w:t>
      </w:r>
    </w:p>
  </w:footnote>
  <w:footnote w:id="7">
    <w:p w14:paraId="4955DBBD" w14:textId="280710B0" w:rsidR="00FF3EEB" w:rsidRPr="00123A4F" w:rsidRDefault="00FF3EEB" w:rsidP="00FF3EEB">
      <w:pPr>
        <w:pStyle w:val="Testonotaapidipagina"/>
        <w:jc w:val="both"/>
        <w:rPr>
          <w:rFonts w:ascii="Times New Roman" w:hAnsi="Times New Roman" w:cs="Times New Roman"/>
          <w:iCs/>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Lo rileva C. </w:t>
      </w:r>
      <w:r w:rsidRPr="00123A4F">
        <w:rPr>
          <w:rFonts w:ascii="Times New Roman" w:hAnsi="Times New Roman" w:cs="Times New Roman"/>
          <w:smallCaps/>
        </w:rPr>
        <w:t>Pinelli</w:t>
      </w:r>
      <w:r w:rsidR="008E5688" w:rsidRPr="00123A4F">
        <w:rPr>
          <w:rFonts w:ascii="Times New Roman" w:hAnsi="Times New Roman" w:cs="Times New Roman"/>
          <w:smallCaps/>
        </w:rPr>
        <w:t>,</w:t>
      </w:r>
      <w:r w:rsidRPr="00123A4F">
        <w:rPr>
          <w:rFonts w:ascii="Times New Roman" w:hAnsi="Times New Roman" w:cs="Times New Roman"/>
        </w:rPr>
        <w:t xml:space="preserve"> </w:t>
      </w:r>
      <w:proofErr w:type="spellStart"/>
      <w:r w:rsidRPr="00123A4F">
        <w:rPr>
          <w:rFonts w:ascii="Times New Roman" w:hAnsi="Times New Roman" w:cs="Times New Roman"/>
          <w:i/>
        </w:rPr>
        <w:t>Granital</w:t>
      </w:r>
      <w:proofErr w:type="spellEnd"/>
      <w:r w:rsidRPr="00123A4F">
        <w:rPr>
          <w:rFonts w:ascii="Times New Roman" w:hAnsi="Times New Roman" w:cs="Times New Roman"/>
          <w:i/>
        </w:rPr>
        <w:t xml:space="preserve"> e i suoi derivati. A quaranta anni da Corte cost., n. 170/1984</w:t>
      </w:r>
      <w:r w:rsidRPr="00123A4F">
        <w:rPr>
          <w:rFonts w:ascii="Times New Roman" w:hAnsi="Times New Roman" w:cs="Times New Roman"/>
          <w:iCs/>
        </w:rPr>
        <w:t xml:space="preserve">, in </w:t>
      </w:r>
      <w:r w:rsidRPr="00123A4F">
        <w:rPr>
          <w:rFonts w:ascii="Times New Roman" w:hAnsi="Times New Roman" w:cs="Times New Roman"/>
          <w:i/>
        </w:rPr>
        <w:t xml:space="preserve">Rivista </w:t>
      </w:r>
      <w:proofErr w:type="spellStart"/>
      <w:r w:rsidRPr="00123A4F">
        <w:rPr>
          <w:rFonts w:ascii="Times New Roman" w:hAnsi="Times New Roman" w:cs="Times New Roman"/>
          <w:i/>
        </w:rPr>
        <w:t>Aic</w:t>
      </w:r>
      <w:proofErr w:type="spellEnd"/>
      <w:r w:rsidRPr="00123A4F">
        <w:rPr>
          <w:rFonts w:ascii="Times New Roman" w:hAnsi="Times New Roman" w:cs="Times New Roman"/>
          <w:iCs/>
        </w:rPr>
        <w:t>, 2024, 4, p. 39.</w:t>
      </w:r>
    </w:p>
  </w:footnote>
  <w:footnote w:id="8">
    <w:p w14:paraId="7DDBCF6D" w14:textId="77777777" w:rsidR="00FF3EEB" w:rsidRPr="00123A4F" w:rsidRDefault="00FF3EEB" w:rsidP="00FF3EEB">
      <w:pPr>
        <w:spacing w:after="0"/>
        <w:jc w:val="both"/>
        <w:rPr>
          <w:rFonts w:ascii="Times New Roman" w:hAnsi="Times New Roman" w:cs="Times New Roman"/>
          <w:sz w:val="20"/>
          <w:szCs w:val="20"/>
        </w:rPr>
      </w:pPr>
      <w:r w:rsidRPr="00123A4F">
        <w:rPr>
          <w:rStyle w:val="Rimandonotaapidipagina"/>
          <w:rFonts w:ascii="Times New Roman" w:hAnsi="Times New Roman" w:cs="Times New Roman"/>
          <w:sz w:val="20"/>
          <w:szCs w:val="20"/>
        </w:rPr>
        <w:footnoteRef/>
      </w:r>
      <w:r w:rsidRPr="00123A4F">
        <w:rPr>
          <w:rFonts w:ascii="Times New Roman" w:hAnsi="Times New Roman" w:cs="Times New Roman"/>
          <w:sz w:val="20"/>
          <w:szCs w:val="20"/>
        </w:rPr>
        <w:t xml:space="preserve"> In </w:t>
      </w:r>
      <w:r w:rsidRPr="00123A4F">
        <w:rPr>
          <w:rFonts w:ascii="Times New Roman" w:hAnsi="Times New Roman" w:cs="Times New Roman"/>
          <w:smallCaps/>
          <w:sz w:val="20"/>
          <w:szCs w:val="20"/>
        </w:rPr>
        <w:t>G. Scaccia</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Sindacato accentrato di costituzionalità vs diretta applicazione della Carta dei diritti fondamentali dell’Unione europea</w:t>
      </w:r>
      <w:r w:rsidRPr="00123A4F">
        <w:rPr>
          <w:rFonts w:ascii="Times New Roman" w:hAnsi="Times New Roman" w:cs="Times New Roman"/>
          <w:sz w:val="20"/>
          <w:szCs w:val="20"/>
        </w:rPr>
        <w:t xml:space="preserve">, in </w:t>
      </w:r>
      <w:r w:rsidRPr="00123A4F">
        <w:rPr>
          <w:rFonts w:ascii="Times New Roman" w:hAnsi="Times New Roman" w:cs="Times New Roman"/>
          <w:i/>
          <w:iCs/>
          <w:sz w:val="20"/>
          <w:szCs w:val="20"/>
        </w:rPr>
        <w:t>Forum di Quaderni Costituzionali</w:t>
      </w:r>
      <w:r w:rsidRPr="00123A4F">
        <w:rPr>
          <w:rFonts w:ascii="Times New Roman" w:hAnsi="Times New Roman" w:cs="Times New Roman"/>
          <w:sz w:val="20"/>
          <w:szCs w:val="20"/>
        </w:rPr>
        <w:t xml:space="preserve">, 2021, 3, ora in </w:t>
      </w:r>
      <w:r w:rsidRPr="00123A4F">
        <w:rPr>
          <w:rFonts w:ascii="Times New Roman" w:hAnsi="Times New Roman" w:cs="Times New Roman"/>
          <w:i/>
          <w:iCs/>
          <w:sz w:val="20"/>
          <w:szCs w:val="20"/>
        </w:rPr>
        <w:t>Diritti fondamentali, legislazione e giurisdizione</w:t>
      </w:r>
      <w:r w:rsidRPr="00123A4F">
        <w:rPr>
          <w:rFonts w:ascii="Times New Roman" w:hAnsi="Times New Roman" w:cs="Times New Roman"/>
          <w:sz w:val="20"/>
          <w:szCs w:val="20"/>
        </w:rPr>
        <w:t xml:space="preserve">, op. cit., p. 173-174, movendo dalle teorie di </w:t>
      </w:r>
      <w:r w:rsidRPr="00123A4F">
        <w:rPr>
          <w:rFonts w:ascii="Times New Roman" w:hAnsi="Times New Roman" w:cs="Times New Roman"/>
          <w:smallCaps/>
          <w:sz w:val="20"/>
          <w:szCs w:val="20"/>
        </w:rPr>
        <w:t>R. Alexy</w:t>
      </w:r>
      <w:r w:rsidRPr="00123A4F">
        <w:rPr>
          <w:rFonts w:ascii="Times New Roman" w:hAnsi="Times New Roman" w:cs="Times New Roman"/>
          <w:sz w:val="20"/>
          <w:szCs w:val="20"/>
        </w:rPr>
        <w:t xml:space="preserve">, </w:t>
      </w:r>
      <w:proofErr w:type="spellStart"/>
      <w:r w:rsidRPr="00123A4F">
        <w:rPr>
          <w:rFonts w:ascii="Times New Roman" w:hAnsi="Times New Roman" w:cs="Times New Roman"/>
          <w:i/>
          <w:iCs/>
          <w:sz w:val="20"/>
          <w:szCs w:val="20"/>
        </w:rPr>
        <w:t>Theorie</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der</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Grundrechte</w:t>
      </w:r>
      <w:proofErr w:type="spellEnd"/>
      <w:r w:rsidRPr="00123A4F">
        <w:rPr>
          <w:rFonts w:ascii="Times New Roman" w:hAnsi="Times New Roman" w:cs="Times New Roman"/>
          <w:sz w:val="20"/>
          <w:szCs w:val="20"/>
        </w:rPr>
        <w:t xml:space="preserve">, Frankfurt </w:t>
      </w:r>
      <w:proofErr w:type="spellStart"/>
      <w:r w:rsidRPr="00123A4F">
        <w:rPr>
          <w:rFonts w:ascii="Times New Roman" w:hAnsi="Times New Roman" w:cs="Times New Roman"/>
          <w:sz w:val="20"/>
          <w:szCs w:val="20"/>
        </w:rPr>
        <w:t>am</w:t>
      </w:r>
      <w:proofErr w:type="spellEnd"/>
      <w:r w:rsidRPr="00123A4F">
        <w:rPr>
          <w:rFonts w:ascii="Times New Roman" w:hAnsi="Times New Roman" w:cs="Times New Roman"/>
          <w:sz w:val="20"/>
          <w:szCs w:val="20"/>
        </w:rPr>
        <w:t xml:space="preserve"> Mein, 1986, p. 100 ss. sulla struttura </w:t>
      </w:r>
      <w:proofErr w:type="spellStart"/>
      <w:r w:rsidRPr="00123A4F">
        <w:rPr>
          <w:rFonts w:ascii="Times New Roman" w:hAnsi="Times New Roman" w:cs="Times New Roman"/>
          <w:sz w:val="20"/>
          <w:szCs w:val="20"/>
        </w:rPr>
        <w:t>nomologica</w:t>
      </w:r>
      <w:proofErr w:type="spellEnd"/>
      <w:r w:rsidRPr="00123A4F">
        <w:rPr>
          <w:rFonts w:ascii="Times New Roman" w:hAnsi="Times New Roman" w:cs="Times New Roman"/>
          <w:sz w:val="20"/>
          <w:szCs w:val="20"/>
        </w:rPr>
        <w:t xml:space="preserve"> delle norme enuncianti diritti fondamentali,  abbiamo posto in dubbio che «i diritti costituzionali fondamentali, nei termini generalissimi e “universali” in cui sono fraseggiati nella Carta di Nizza possano essere dotati di diretta efficacia», se con questo vuole intendersi che «i diritti si traducono normativamente in regole capaci di impadronirsi di una fattispecie somministrando per essa una regola dettagliata e precisa, tanto da prendere il posto della corrispondente e concorrente regola nazionale», concludendone che il criterio che presume di fondare sulla distinzione fra diritti e principi una differenza di regime applicativo delle norme della CDFUE «ha basi scientifiche fragilissime». </w:t>
      </w:r>
      <w:r w:rsidRPr="00123A4F">
        <w:rPr>
          <w:rFonts w:ascii="Times New Roman" w:hAnsi="Times New Roman" w:cs="Times New Roman"/>
          <w:smallCaps/>
          <w:sz w:val="20"/>
          <w:szCs w:val="20"/>
        </w:rPr>
        <w:t>N. Zanon</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Il ruolo della Corte costituzionale nella difesa del principio di uguaglianza e degli obblighi europei ex art. 117, primo comma, Cost</w:t>
      </w:r>
      <w:r w:rsidRPr="00123A4F">
        <w:rPr>
          <w:rFonts w:ascii="Times New Roman" w:hAnsi="Times New Roman" w:cs="Times New Roman"/>
          <w:sz w:val="20"/>
          <w:szCs w:val="20"/>
        </w:rPr>
        <w:t xml:space="preserve">., in </w:t>
      </w:r>
      <w:r w:rsidRPr="00123A4F">
        <w:rPr>
          <w:rFonts w:ascii="Times New Roman" w:hAnsi="Times New Roman" w:cs="Times New Roman"/>
          <w:i/>
          <w:iCs/>
          <w:sz w:val="20"/>
          <w:szCs w:val="20"/>
        </w:rPr>
        <w:t>Federalismi</w:t>
      </w:r>
      <w:r w:rsidRPr="00123A4F">
        <w:rPr>
          <w:rFonts w:ascii="Times New Roman" w:hAnsi="Times New Roman" w:cs="Times New Roman"/>
          <w:sz w:val="20"/>
          <w:szCs w:val="20"/>
        </w:rPr>
        <w:t>, 2024, 30, p. 6, generosamente riprende questo spunto e vi aggiunge che «le norme europee in questi casi esibiscono (…) un effetto diretto solo nominale, che non equivale alla somministrazione di una regola precisa, se non a prezzo di valutazioni, bilanciamenti, estensioni e sottrazioni che non dovrebbero competere al giudice comune».</w:t>
      </w:r>
    </w:p>
  </w:footnote>
  <w:footnote w:id="9">
    <w:p w14:paraId="74B18CC5" w14:textId="6C812864" w:rsidR="00FF3EEB" w:rsidRPr="00123A4F" w:rsidRDefault="00FF3EEB" w:rsidP="00A56C47">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In questo specifico senso può leggersi quel passaggio di Corte cost., </w:t>
      </w:r>
      <w:proofErr w:type="spellStart"/>
      <w:r w:rsidRPr="00123A4F">
        <w:rPr>
          <w:rFonts w:ascii="Times New Roman" w:hAnsi="Times New Roman" w:cs="Times New Roman"/>
        </w:rPr>
        <w:t>sent</w:t>
      </w:r>
      <w:proofErr w:type="spellEnd"/>
      <w:r w:rsidRPr="00123A4F">
        <w:rPr>
          <w:rFonts w:ascii="Times New Roman" w:hAnsi="Times New Roman" w:cs="Times New Roman"/>
        </w:rPr>
        <w:t>. n. 269 del 2017 che colloca «</w:t>
      </w:r>
      <w:r w:rsidRPr="00123A4F">
        <w:rPr>
          <w:rFonts w:ascii="Times New Roman" w:hAnsi="Times New Roman" w:cs="Times New Roman"/>
          <w:i/>
          <w:iCs/>
        </w:rPr>
        <w:t>il sindacato accentrato di costituzionalità delle leggi a fondamento dell’architettura costituzionale (art. 134 Cost.)</w:t>
      </w:r>
      <w:r w:rsidRPr="00123A4F">
        <w:rPr>
          <w:rFonts w:ascii="Times New Roman" w:hAnsi="Times New Roman" w:cs="Times New Roman"/>
        </w:rPr>
        <w:t xml:space="preserve">» (punto 5.4 del </w:t>
      </w:r>
      <w:r w:rsidRPr="00123A4F">
        <w:rPr>
          <w:rFonts w:ascii="Times New Roman" w:hAnsi="Times New Roman" w:cs="Times New Roman"/>
          <w:i/>
          <w:iCs/>
        </w:rPr>
        <w:t>Considerato in diritto</w:t>
      </w:r>
      <w:r w:rsidRPr="00123A4F">
        <w:rPr>
          <w:rFonts w:ascii="Times New Roman" w:hAnsi="Times New Roman" w:cs="Times New Roman"/>
        </w:rPr>
        <w:t xml:space="preserve">). Secondo C. </w:t>
      </w:r>
      <w:r w:rsidRPr="00123A4F">
        <w:rPr>
          <w:rFonts w:ascii="Times New Roman" w:hAnsi="Times New Roman" w:cs="Times New Roman"/>
          <w:smallCaps/>
        </w:rPr>
        <w:t>Pinelli</w:t>
      </w:r>
      <w:r w:rsidRPr="00123A4F">
        <w:rPr>
          <w:rFonts w:ascii="Times New Roman" w:hAnsi="Times New Roman" w:cs="Times New Roman"/>
        </w:rPr>
        <w:t xml:space="preserve">, </w:t>
      </w:r>
      <w:r w:rsidR="008E5688" w:rsidRPr="00123A4F">
        <w:rPr>
          <w:rFonts w:ascii="Times New Roman" w:hAnsi="Times New Roman" w:cs="Times New Roman"/>
          <w:i/>
          <w:iCs/>
        </w:rPr>
        <w:t xml:space="preserve">op. </w:t>
      </w:r>
      <w:r w:rsidRPr="00123A4F">
        <w:rPr>
          <w:rFonts w:ascii="Times New Roman" w:hAnsi="Times New Roman" w:cs="Times New Roman"/>
          <w:i/>
          <w:iCs/>
        </w:rPr>
        <w:t>cit.</w:t>
      </w:r>
      <w:r w:rsidRPr="00123A4F">
        <w:rPr>
          <w:rFonts w:ascii="Times New Roman" w:hAnsi="Times New Roman" w:cs="Times New Roman"/>
          <w:iCs/>
        </w:rPr>
        <w:t xml:space="preserve">, p. </w:t>
      </w:r>
      <w:r w:rsidRPr="00123A4F">
        <w:rPr>
          <w:rFonts w:ascii="Times New Roman" w:hAnsi="Times New Roman" w:cs="Times New Roman"/>
        </w:rPr>
        <w:t xml:space="preserve">40-42 «[s]ebbene terminologicamente molto prossima, una tale qualificazione del sindacato accentrato non coincide ancora con quella di “principio supremo»; e neppure basta ad affermarne tale natura «la sottolineatura dei vantaggi del sistema accentrato in termini di certezza del diritto». Personalmente sono convinto del contrario; il sindacato accentrato non è un contenuto disponibile alla revisione costituzionale, perché è una delle garanzie della </w:t>
      </w:r>
      <w:r w:rsidR="008E5688" w:rsidRPr="00123A4F">
        <w:rPr>
          <w:rFonts w:ascii="Times New Roman" w:hAnsi="Times New Roman" w:cs="Times New Roman"/>
        </w:rPr>
        <w:t xml:space="preserve">rigidità della </w:t>
      </w:r>
      <w:r w:rsidRPr="00123A4F">
        <w:rPr>
          <w:rFonts w:ascii="Times New Roman" w:hAnsi="Times New Roman" w:cs="Times New Roman"/>
        </w:rPr>
        <w:t xml:space="preserve">Costituzione, al pari della revisione costituzionale, né può costituire oggetto di una cessione di sovranità che possa dirti compatibile con l’art. 11 Cost. </w:t>
      </w:r>
      <w:r w:rsidR="008E5688" w:rsidRPr="00123A4F">
        <w:rPr>
          <w:rFonts w:ascii="Times New Roman" w:hAnsi="Times New Roman" w:cs="Times New Roman"/>
        </w:rPr>
        <w:t xml:space="preserve">Che sindacato accentrato e rigidità costituzionale si tengano insieme si trae in modo esplicito dalla </w:t>
      </w:r>
      <w:r w:rsidRPr="00123A4F">
        <w:rPr>
          <w:rFonts w:ascii="Times New Roman" w:hAnsi="Times New Roman" w:cs="Times New Roman"/>
        </w:rPr>
        <w:t>sentenza n. 38 del 1957 sull’Alta Corte per la Regione siciliana</w:t>
      </w:r>
      <w:r w:rsidR="00784D0E" w:rsidRPr="00123A4F">
        <w:rPr>
          <w:rFonts w:ascii="Times New Roman" w:hAnsi="Times New Roman" w:cs="Times New Roman"/>
        </w:rPr>
        <w:t xml:space="preserve">, in cui </w:t>
      </w:r>
      <w:r w:rsidRPr="00123A4F">
        <w:rPr>
          <w:rFonts w:ascii="Times New Roman" w:hAnsi="Times New Roman" w:cs="Times New Roman"/>
        </w:rPr>
        <w:t>la Corte costituzionale</w:t>
      </w:r>
      <w:r w:rsidR="00784D0E" w:rsidRPr="00123A4F">
        <w:rPr>
          <w:rFonts w:ascii="Times New Roman" w:hAnsi="Times New Roman" w:cs="Times New Roman"/>
        </w:rPr>
        <w:t xml:space="preserve">, </w:t>
      </w:r>
      <w:r w:rsidR="008E5688" w:rsidRPr="00123A4F">
        <w:rPr>
          <w:rFonts w:ascii="Times New Roman" w:hAnsi="Times New Roman" w:cs="Times New Roman"/>
        </w:rPr>
        <w:t xml:space="preserve">riaffermando l’unità della giurisdizione costituzionale, </w:t>
      </w:r>
      <w:r w:rsidRPr="00123A4F">
        <w:rPr>
          <w:rFonts w:ascii="Times New Roman" w:hAnsi="Times New Roman" w:cs="Times New Roman"/>
        </w:rPr>
        <w:t>ha</w:t>
      </w:r>
      <w:r w:rsidR="008E5688" w:rsidRPr="00123A4F">
        <w:rPr>
          <w:rFonts w:ascii="Times New Roman" w:hAnsi="Times New Roman" w:cs="Times New Roman"/>
        </w:rPr>
        <w:t xml:space="preserve"> statuito che</w:t>
      </w:r>
      <w:r w:rsidRPr="00123A4F">
        <w:rPr>
          <w:rFonts w:ascii="Times New Roman" w:hAnsi="Times New Roman" w:cs="Times New Roman"/>
        </w:rPr>
        <w:t xml:space="preserve"> «Sul piano tecnico</w:t>
      </w:r>
      <w:r w:rsidR="00170A41" w:rsidRPr="00123A4F">
        <w:rPr>
          <w:rFonts w:ascii="Times New Roman" w:hAnsi="Times New Roman" w:cs="Times New Roman"/>
        </w:rPr>
        <w:t>-</w:t>
      </w:r>
      <w:r w:rsidRPr="00123A4F">
        <w:rPr>
          <w:rFonts w:ascii="Times New Roman" w:hAnsi="Times New Roman" w:cs="Times New Roman"/>
        </w:rPr>
        <w:t>giuridico</w:t>
      </w:r>
      <w:r w:rsidR="008E5688" w:rsidRPr="00123A4F">
        <w:rPr>
          <w:rFonts w:ascii="Times New Roman" w:hAnsi="Times New Roman" w:cs="Times New Roman"/>
        </w:rPr>
        <w:t xml:space="preserve"> (…) </w:t>
      </w:r>
      <w:r w:rsidRPr="00123A4F">
        <w:rPr>
          <w:rFonts w:ascii="Times New Roman" w:hAnsi="Times New Roman" w:cs="Times New Roman"/>
        </w:rPr>
        <w:t xml:space="preserve">questa unità è richiesta, forse ancora più energicamente, dal carattere rigido della nostra Costituzione. </w:t>
      </w:r>
      <w:r w:rsidR="008E5688" w:rsidRPr="00123A4F">
        <w:rPr>
          <w:rFonts w:ascii="Times New Roman" w:hAnsi="Times New Roman" w:cs="Times New Roman"/>
        </w:rPr>
        <w:t>(…)</w:t>
      </w:r>
      <w:r w:rsidRPr="00123A4F">
        <w:rPr>
          <w:rFonts w:ascii="Times New Roman" w:hAnsi="Times New Roman" w:cs="Times New Roman"/>
        </w:rPr>
        <w:t xml:space="preserve"> E l’esigenza contenuta in questa regola è soddisfatta non soltanto dal procedimento di revisione costituzionale consacrato dall’art. 138 della Costituzione, […]</w:t>
      </w:r>
      <w:r w:rsidR="00784D0E" w:rsidRPr="00123A4F">
        <w:rPr>
          <w:rFonts w:ascii="Times New Roman" w:hAnsi="Times New Roman" w:cs="Times New Roman"/>
        </w:rPr>
        <w:t xml:space="preserve"> </w:t>
      </w:r>
      <w:r w:rsidRPr="00123A4F">
        <w:rPr>
          <w:rFonts w:ascii="Times New Roman" w:hAnsi="Times New Roman" w:cs="Times New Roman"/>
        </w:rPr>
        <w:t>ma altrettanto, e forse ancora di più, dalla unità della giurisdizione costituzionale che, per parte sua e nel campo suo proprio, assicura una vita organica e uno sviluppo coerente</w:t>
      </w:r>
      <w:r w:rsidR="008E5688" w:rsidRPr="00123A4F">
        <w:rPr>
          <w:rFonts w:ascii="Times New Roman" w:hAnsi="Times New Roman" w:cs="Times New Roman"/>
        </w:rPr>
        <w:t xml:space="preserve"> (…) </w:t>
      </w:r>
      <w:r w:rsidRPr="00123A4F">
        <w:rPr>
          <w:rFonts w:ascii="Times New Roman" w:hAnsi="Times New Roman" w:cs="Times New Roman"/>
        </w:rPr>
        <w:t xml:space="preserve">dei principi e delle norme fondamentali che il popolo italiano ha dato a se stesso nell’esercizio della sua sovranità» (punti 3 e 4 del </w:t>
      </w:r>
      <w:r w:rsidRPr="00123A4F">
        <w:rPr>
          <w:rFonts w:ascii="Times New Roman" w:hAnsi="Times New Roman" w:cs="Times New Roman"/>
          <w:i/>
          <w:iCs/>
        </w:rPr>
        <w:t>Considerato in diritto</w:t>
      </w:r>
      <w:r w:rsidRPr="00123A4F">
        <w:rPr>
          <w:rFonts w:ascii="Times New Roman" w:hAnsi="Times New Roman" w:cs="Times New Roman"/>
        </w:rPr>
        <w:t>). In sens</w:t>
      </w:r>
      <w:r w:rsidR="008E5688" w:rsidRPr="00123A4F">
        <w:rPr>
          <w:rFonts w:ascii="Times New Roman" w:hAnsi="Times New Roman" w:cs="Times New Roman"/>
        </w:rPr>
        <w:t xml:space="preserve">o analogo </w:t>
      </w:r>
      <w:r w:rsidRPr="00123A4F">
        <w:rPr>
          <w:rFonts w:ascii="Times New Roman" w:hAnsi="Times New Roman" w:cs="Times New Roman"/>
        </w:rPr>
        <w:t xml:space="preserve">Corte cost., </w:t>
      </w:r>
      <w:proofErr w:type="spellStart"/>
      <w:r w:rsidRPr="00123A4F">
        <w:rPr>
          <w:rFonts w:ascii="Times New Roman" w:hAnsi="Times New Roman" w:cs="Times New Roman"/>
        </w:rPr>
        <w:t>sentt</w:t>
      </w:r>
      <w:proofErr w:type="spellEnd"/>
      <w:r w:rsidRPr="00123A4F">
        <w:rPr>
          <w:rFonts w:ascii="Times New Roman" w:hAnsi="Times New Roman" w:cs="Times New Roman"/>
        </w:rPr>
        <w:t xml:space="preserve">. </w:t>
      </w:r>
      <w:proofErr w:type="spellStart"/>
      <w:r w:rsidRPr="00123A4F">
        <w:rPr>
          <w:rFonts w:ascii="Times New Roman" w:hAnsi="Times New Roman" w:cs="Times New Roman"/>
        </w:rPr>
        <w:t>nn</w:t>
      </w:r>
      <w:proofErr w:type="spellEnd"/>
      <w:r w:rsidRPr="00123A4F">
        <w:rPr>
          <w:rFonts w:ascii="Times New Roman" w:hAnsi="Times New Roman" w:cs="Times New Roman"/>
        </w:rPr>
        <w:t>. 52 e 111 del 1957, 6 del 1970, 43 e 165 del 1982, 545 del 1989 e 314 del 2003.</w:t>
      </w:r>
    </w:p>
  </w:footnote>
  <w:footnote w:id="10">
    <w:p w14:paraId="456DF275" w14:textId="0C34441C" w:rsidR="00A56C47" w:rsidRPr="00123A4F" w:rsidRDefault="00A56C47" w:rsidP="000E39B0">
      <w:pPr>
        <w:pStyle w:val="Testonotaapidipagina"/>
        <w:jc w:val="both"/>
      </w:pPr>
      <w:r w:rsidRPr="00123A4F">
        <w:rPr>
          <w:rStyle w:val="Rimandonotaapidipagina"/>
          <w:rFonts w:ascii="Times New Roman" w:hAnsi="Times New Roman" w:cs="Times New Roman"/>
        </w:rPr>
        <w:footnoteRef/>
      </w:r>
      <w:r w:rsidRPr="00123A4F">
        <w:rPr>
          <w:rFonts w:ascii="Times New Roman" w:hAnsi="Times New Roman" w:cs="Times New Roman"/>
        </w:rPr>
        <w:t xml:space="preserve"> Sulla sentenza n. 269 del 2017 sia consentito il rinvio a </w:t>
      </w:r>
      <w:r w:rsidRPr="00123A4F">
        <w:rPr>
          <w:rFonts w:ascii="Times New Roman" w:hAnsi="Times New Roman" w:cs="Times New Roman"/>
          <w:smallCaps/>
        </w:rPr>
        <w:t>G. Scaccia</w:t>
      </w:r>
      <w:r w:rsidRPr="00123A4F">
        <w:rPr>
          <w:rFonts w:ascii="Times New Roman" w:hAnsi="Times New Roman" w:cs="Times New Roman"/>
        </w:rPr>
        <w:t xml:space="preserve">, </w:t>
      </w:r>
      <w:r w:rsidRPr="00123A4F">
        <w:rPr>
          <w:rFonts w:ascii="Times New Roman" w:hAnsi="Times New Roman" w:cs="Times New Roman"/>
          <w:i/>
          <w:iCs/>
        </w:rPr>
        <w:t xml:space="preserve">Sindacato accentrato di costituzionalità, </w:t>
      </w:r>
      <w:r w:rsidRPr="00123A4F">
        <w:rPr>
          <w:rFonts w:ascii="Times New Roman" w:hAnsi="Times New Roman" w:cs="Times New Roman"/>
        </w:rPr>
        <w:t xml:space="preserve">op. cit., p. 183, ove abbiamo segnalato che «la svolta del 2017 è, dunque, solo apparente: non segna un esercizio di </w:t>
      </w:r>
      <w:proofErr w:type="spellStart"/>
      <w:r w:rsidRPr="00123A4F">
        <w:rPr>
          <w:rFonts w:ascii="Times New Roman" w:hAnsi="Times New Roman" w:cs="Times New Roman"/>
          <w:i/>
          <w:iCs/>
        </w:rPr>
        <w:t>overruling</w:t>
      </w:r>
      <w:proofErr w:type="spellEnd"/>
      <w:r w:rsidRPr="00123A4F">
        <w:rPr>
          <w:rFonts w:ascii="Times New Roman" w:hAnsi="Times New Roman" w:cs="Times New Roman"/>
        </w:rPr>
        <w:t xml:space="preserve">, ma di </w:t>
      </w:r>
      <w:proofErr w:type="spellStart"/>
      <w:r w:rsidRPr="00123A4F">
        <w:rPr>
          <w:rFonts w:ascii="Times New Roman" w:hAnsi="Times New Roman" w:cs="Times New Roman"/>
          <w:i/>
          <w:iCs/>
        </w:rPr>
        <w:t>distinguishing</w:t>
      </w:r>
      <w:proofErr w:type="spellEnd"/>
      <w:r w:rsidRPr="00123A4F">
        <w:rPr>
          <w:rFonts w:ascii="Times New Roman" w:hAnsi="Times New Roman" w:cs="Times New Roman"/>
        </w:rPr>
        <w:t xml:space="preserve"> sulla dottrina </w:t>
      </w:r>
      <w:proofErr w:type="spellStart"/>
      <w:r w:rsidRPr="00123A4F">
        <w:rPr>
          <w:rFonts w:ascii="Times New Roman" w:hAnsi="Times New Roman" w:cs="Times New Roman"/>
        </w:rPr>
        <w:t>Granital</w:t>
      </w:r>
      <w:proofErr w:type="spellEnd"/>
      <w:r w:rsidRPr="00123A4F">
        <w:rPr>
          <w:rFonts w:ascii="Times New Roman" w:hAnsi="Times New Roman" w:cs="Times New Roman"/>
        </w:rPr>
        <w:t>. Precisa difatti i limiti che incontra la disapplicazione quando comprometta le condizioni di effettività di principi e interessi costituzionali che non erano né potevano essere nell’orizzonte di quella decisione, anche ma non solo perché il firmamento dei diritti di conio europeo brillava della luce delle quattro libertà fondamentali, in relazione alle quali l’esigenza di uniformità è particolarmente pregnante, mentre - giova ribadire - lo è in misura minore in tema di diritti fondamentali non mercantili».</w:t>
      </w:r>
    </w:p>
  </w:footnote>
  <w:footnote w:id="11">
    <w:p w14:paraId="5A724B4A" w14:textId="4D539041" w:rsidR="00FF3EEB" w:rsidRPr="00123A4F" w:rsidRDefault="00FF3EEB" w:rsidP="00FF3EEB">
      <w:pPr>
        <w:spacing w:after="0" w:line="240" w:lineRule="auto"/>
        <w:jc w:val="both"/>
        <w:rPr>
          <w:rFonts w:ascii="Times New Roman" w:hAnsi="Times New Roman" w:cs="Times New Roman"/>
          <w:sz w:val="20"/>
          <w:szCs w:val="20"/>
        </w:rPr>
      </w:pPr>
      <w:r w:rsidRPr="00123A4F">
        <w:rPr>
          <w:rStyle w:val="Rimandonotaapidipagina"/>
          <w:rFonts w:ascii="Times New Roman" w:hAnsi="Times New Roman" w:cs="Times New Roman"/>
          <w:sz w:val="20"/>
          <w:szCs w:val="20"/>
        </w:rPr>
        <w:footnoteRef/>
      </w:r>
      <w:r w:rsidR="00EA5C96" w:rsidRPr="00123A4F">
        <w:rPr>
          <w:rFonts w:ascii="Times New Roman" w:hAnsi="Times New Roman" w:cs="Times New Roman"/>
          <w:sz w:val="20"/>
          <w:szCs w:val="20"/>
        </w:rPr>
        <w:t>L</w:t>
      </w:r>
      <w:r w:rsidRPr="00123A4F">
        <w:rPr>
          <w:rFonts w:ascii="Times New Roman" w:hAnsi="Times New Roman" w:cs="Times New Roman"/>
          <w:sz w:val="20"/>
          <w:szCs w:val="20"/>
        </w:rPr>
        <w:t xml:space="preserve">’art. 41 </w:t>
      </w:r>
      <w:r w:rsidR="00EA5C96" w:rsidRPr="00123A4F">
        <w:rPr>
          <w:rFonts w:ascii="Times New Roman" w:hAnsi="Times New Roman" w:cs="Times New Roman"/>
          <w:sz w:val="20"/>
          <w:szCs w:val="20"/>
        </w:rPr>
        <w:t xml:space="preserve">è </w:t>
      </w:r>
      <w:r w:rsidRPr="00123A4F">
        <w:rPr>
          <w:rFonts w:ascii="Times New Roman" w:hAnsi="Times New Roman" w:cs="Times New Roman"/>
          <w:sz w:val="20"/>
          <w:szCs w:val="20"/>
        </w:rPr>
        <w:t xml:space="preserve">l’epitome di una scelta </w:t>
      </w:r>
      <w:r w:rsidRPr="00123A4F">
        <w:rPr>
          <w:rFonts w:ascii="Times New Roman" w:hAnsi="Times New Roman" w:cs="Times New Roman"/>
          <w:i/>
          <w:iCs/>
          <w:sz w:val="20"/>
          <w:szCs w:val="20"/>
        </w:rPr>
        <w:t>non sintetica</w:t>
      </w:r>
      <w:r w:rsidRPr="00123A4F">
        <w:rPr>
          <w:rFonts w:ascii="Times New Roman" w:hAnsi="Times New Roman" w:cs="Times New Roman"/>
          <w:sz w:val="20"/>
          <w:szCs w:val="20"/>
        </w:rPr>
        <w:t>, nel senso hegeliano dell’</w:t>
      </w:r>
      <w:proofErr w:type="spellStart"/>
      <w:r w:rsidRPr="00123A4F">
        <w:rPr>
          <w:rFonts w:ascii="Times New Roman" w:hAnsi="Times New Roman" w:cs="Times New Roman"/>
          <w:i/>
          <w:iCs/>
          <w:sz w:val="20"/>
          <w:szCs w:val="20"/>
        </w:rPr>
        <w:t>Aufhebung</w:t>
      </w:r>
      <w:proofErr w:type="spellEnd"/>
      <w:r w:rsidRPr="00123A4F">
        <w:rPr>
          <w:rFonts w:ascii="Times New Roman" w:hAnsi="Times New Roman" w:cs="Times New Roman"/>
          <w:i/>
          <w:iCs/>
          <w:sz w:val="20"/>
          <w:szCs w:val="20"/>
        </w:rPr>
        <w:t xml:space="preserve"> </w:t>
      </w:r>
      <w:r w:rsidRPr="00123A4F">
        <w:rPr>
          <w:rFonts w:ascii="Times New Roman" w:hAnsi="Times New Roman" w:cs="Times New Roman"/>
          <w:sz w:val="20"/>
          <w:szCs w:val="20"/>
        </w:rPr>
        <w:t xml:space="preserve">che raccoglie e supera tesi e antitesi in una più avanzata forma di coalescenza. </w:t>
      </w:r>
      <w:r w:rsidR="00363B04" w:rsidRPr="00123A4F">
        <w:rPr>
          <w:rFonts w:ascii="Times New Roman" w:hAnsi="Times New Roman" w:cs="Times New Roman"/>
          <w:sz w:val="20"/>
          <w:szCs w:val="20"/>
        </w:rPr>
        <w:t xml:space="preserve">Riprendendo </w:t>
      </w:r>
      <w:r w:rsidR="009A1F37" w:rsidRPr="00123A4F">
        <w:rPr>
          <w:rFonts w:ascii="Times New Roman" w:hAnsi="Times New Roman" w:cs="Times New Roman"/>
          <w:sz w:val="20"/>
          <w:szCs w:val="20"/>
        </w:rPr>
        <w:t xml:space="preserve">una </w:t>
      </w:r>
      <w:r w:rsidR="003F6BD3" w:rsidRPr="00123A4F">
        <w:rPr>
          <w:rFonts w:ascii="Times New Roman" w:hAnsi="Times New Roman" w:cs="Times New Roman"/>
          <w:sz w:val="20"/>
          <w:szCs w:val="20"/>
        </w:rPr>
        <w:t xml:space="preserve">vivace metafora di </w:t>
      </w:r>
      <w:r w:rsidRPr="00123A4F">
        <w:rPr>
          <w:rFonts w:ascii="Times New Roman" w:hAnsi="Times New Roman" w:cs="Times New Roman"/>
          <w:smallCaps/>
          <w:sz w:val="20"/>
          <w:szCs w:val="20"/>
        </w:rPr>
        <w:t>P. Calamandrei</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Chiarezza nella Costituzione</w:t>
      </w:r>
      <w:r w:rsidRPr="00123A4F">
        <w:rPr>
          <w:rFonts w:ascii="Times New Roman" w:hAnsi="Times New Roman" w:cs="Times New Roman"/>
          <w:sz w:val="20"/>
          <w:szCs w:val="20"/>
        </w:rPr>
        <w:t xml:space="preserve">, in </w:t>
      </w:r>
      <w:r w:rsidRPr="00123A4F">
        <w:rPr>
          <w:rFonts w:ascii="Times New Roman" w:hAnsi="Times New Roman" w:cs="Times New Roman"/>
          <w:i/>
          <w:iCs/>
          <w:sz w:val="20"/>
          <w:szCs w:val="20"/>
        </w:rPr>
        <w:t xml:space="preserve">Atti della </w:t>
      </w:r>
      <w:proofErr w:type="gramStart"/>
      <w:r w:rsidRPr="00123A4F">
        <w:rPr>
          <w:rFonts w:ascii="Times New Roman" w:hAnsi="Times New Roman" w:cs="Times New Roman"/>
          <w:i/>
          <w:iCs/>
          <w:sz w:val="20"/>
          <w:szCs w:val="20"/>
        </w:rPr>
        <w:t>Assemblea Costituente</w:t>
      </w:r>
      <w:proofErr w:type="gramEnd"/>
      <w:r w:rsidRPr="00123A4F">
        <w:rPr>
          <w:rFonts w:ascii="Times New Roman" w:hAnsi="Times New Roman" w:cs="Times New Roman"/>
          <w:i/>
          <w:iCs/>
          <w:sz w:val="20"/>
          <w:szCs w:val="20"/>
        </w:rPr>
        <w:t>. Discussione sul Progetto di Costituzione</w:t>
      </w:r>
      <w:r w:rsidRPr="00123A4F">
        <w:rPr>
          <w:rFonts w:ascii="Times New Roman" w:hAnsi="Times New Roman" w:cs="Times New Roman"/>
          <w:sz w:val="20"/>
          <w:szCs w:val="20"/>
        </w:rPr>
        <w:t xml:space="preserve">, Roma, 1951, 1, p. 1745 </w:t>
      </w:r>
      <w:r w:rsidR="009A1F37" w:rsidRPr="00123A4F">
        <w:rPr>
          <w:rFonts w:ascii="Times New Roman" w:hAnsi="Times New Roman" w:cs="Times New Roman"/>
          <w:sz w:val="20"/>
          <w:szCs w:val="20"/>
        </w:rPr>
        <w:t xml:space="preserve">si può dire </w:t>
      </w:r>
      <w:r w:rsidR="00BF1319" w:rsidRPr="00123A4F">
        <w:rPr>
          <w:rFonts w:ascii="Times New Roman" w:hAnsi="Times New Roman" w:cs="Times New Roman"/>
          <w:sz w:val="20"/>
          <w:szCs w:val="20"/>
        </w:rPr>
        <w:t xml:space="preserve">che all’art. 41 </w:t>
      </w:r>
      <w:r w:rsidR="00D172E8" w:rsidRPr="00123A4F">
        <w:rPr>
          <w:rFonts w:ascii="Times New Roman" w:hAnsi="Times New Roman" w:cs="Times New Roman"/>
          <w:sz w:val="20"/>
          <w:szCs w:val="20"/>
        </w:rPr>
        <w:t>sia</w:t>
      </w:r>
      <w:r w:rsidR="00363B04" w:rsidRPr="00123A4F">
        <w:rPr>
          <w:rFonts w:ascii="Times New Roman" w:hAnsi="Times New Roman" w:cs="Times New Roman"/>
          <w:sz w:val="20"/>
          <w:szCs w:val="20"/>
        </w:rPr>
        <w:t xml:space="preserve"> avvenuto </w:t>
      </w:r>
      <w:r w:rsidRPr="00123A4F">
        <w:rPr>
          <w:rFonts w:ascii="Times New Roman" w:hAnsi="Times New Roman" w:cs="Times New Roman"/>
          <w:sz w:val="20"/>
          <w:szCs w:val="20"/>
        </w:rPr>
        <w:t xml:space="preserve">«quello che si dice avvenisse a quel libertino di mezza età, che aveva i capelli grigi ed aveva due amanti, una giovane e una vecchia: la giovane gli strappava i capelli bianchi e la vecchia gli strappava i capelli neri; e lui rimase calvo. Nella Costituzione ci sono purtroppo alcuni articoli rimasti calvi». </w:t>
      </w:r>
      <w:r w:rsidR="00D121F3" w:rsidRPr="00123A4F">
        <w:rPr>
          <w:rFonts w:ascii="Times New Roman" w:hAnsi="Times New Roman" w:cs="Times New Roman"/>
          <w:sz w:val="20"/>
          <w:szCs w:val="20"/>
        </w:rPr>
        <w:t xml:space="preserve">Per un’analisi a tutto tondo del tema </w:t>
      </w:r>
      <w:r w:rsidR="00C261ED" w:rsidRPr="00123A4F">
        <w:rPr>
          <w:rFonts w:ascii="Times New Roman" w:hAnsi="Times New Roman" w:cs="Times New Roman"/>
          <w:sz w:val="20"/>
          <w:szCs w:val="20"/>
        </w:rPr>
        <w:t xml:space="preserve">si veda </w:t>
      </w:r>
      <w:r w:rsidR="00C261ED" w:rsidRPr="00123A4F">
        <w:rPr>
          <w:rFonts w:ascii="Times New Roman" w:hAnsi="Times New Roman" w:cs="Times New Roman"/>
          <w:smallCaps/>
          <w:sz w:val="20"/>
          <w:szCs w:val="20"/>
        </w:rPr>
        <w:t>M. Luciani</w:t>
      </w:r>
      <w:r w:rsidR="00C261ED" w:rsidRPr="00123A4F">
        <w:rPr>
          <w:rFonts w:ascii="Times New Roman" w:hAnsi="Times New Roman" w:cs="Times New Roman"/>
          <w:sz w:val="20"/>
          <w:szCs w:val="20"/>
        </w:rPr>
        <w:t xml:space="preserve">, </w:t>
      </w:r>
      <w:r w:rsidR="007B6A43" w:rsidRPr="00123A4F">
        <w:rPr>
          <w:rFonts w:ascii="Times New Roman" w:hAnsi="Times New Roman" w:cs="Times New Roman"/>
          <w:i/>
          <w:iCs/>
          <w:sz w:val="20"/>
          <w:szCs w:val="20"/>
        </w:rPr>
        <w:t>La produzione economica privata nel sistema costituzionale</w:t>
      </w:r>
      <w:r w:rsidR="007B6A43" w:rsidRPr="00123A4F">
        <w:rPr>
          <w:rFonts w:ascii="Times New Roman" w:hAnsi="Times New Roman" w:cs="Times New Roman"/>
          <w:sz w:val="20"/>
          <w:szCs w:val="20"/>
        </w:rPr>
        <w:t>, Padova, Cedam, 1983</w:t>
      </w:r>
      <w:r w:rsidR="00E36F76" w:rsidRPr="00123A4F">
        <w:rPr>
          <w:rFonts w:ascii="Times New Roman" w:hAnsi="Times New Roman" w:cs="Times New Roman"/>
          <w:sz w:val="20"/>
          <w:szCs w:val="20"/>
        </w:rPr>
        <w:t>.</w:t>
      </w:r>
    </w:p>
  </w:footnote>
  <w:footnote w:id="12">
    <w:p w14:paraId="6DBF3B1C" w14:textId="3677BA7E" w:rsidR="00FF3EEB" w:rsidRPr="00123A4F" w:rsidRDefault="00FF3EEB" w:rsidP="00FF3EEB">
      <w:pPr>
        <w:spacing w:after="0" w:line="240" w:lineRule="auto"/>
        <w:jc w:val="both"/>
        <w:rPr>
          <w:rFonts w:ascii="Times New Roman" w:hAnsi="Times New Roman" w:cs="Times New Roman"/>
          <w:smallCaps/>
          <w:sz w:val="20"/>
          <w:szCs w:val="20"/>
          <w:highlight w:val="green"/>
        </w:rPr>
      </w:pPr>
      <w:r w:rsidRPr="00123A4F">
        <w:rPr>
          <w:rStyle w:val="Rimandonotaapidipagina"/>
          <w:rFonts w:ascii="Times New Roman" w:hAnsi="Times New Roman" w:cs="Times New Roman"/>
          <w:sz w:val="20"/>
          <w:szCs w:val="20"/>
        </w:rPr>
        <w:footnoteRef/>
      </w:r>
      <w:r w:rsidRPr="00123A4F">
        <w:rPr>
          <w:rFonts w:ascii="Times New Roman" w:hAnsi="Times New Roman" w:cs="Times New Roman"/>
          <w:sz w:val="20"/>
          <w:szCs w:val="20"/>
        </w:rPr>
        <w:t xml:space="preserve"> Le libertà del mercato sviluppate in sede europea, sostenute dall’affermarsi storico del modello ordoliberale e dal declinare dei modelli collettivisti, potevano esercitare senza </w:t>
      </w:r>
      <w:r w:rsidR="00A66D5D" w:rsidRPr="00123A4F">
        <w:rPr>
          <w:rFonts w:ascii="Times New Roman" w:hAnsi="Times New Roman" w:cs="Times New Roman"/>
          <w:sz w:val="20"/>
          <w:szCs w:val="20"/>
        </w:rPr>
        <w:t>traumi</w:t>
      </w:r>
      <w:r w:rsidRPr="00123A4F">
        <w:rPr>
          <w:rFonts w:ascii="Times New Roman" w:hAnsi="Times New Roman" w:cs="Times New Roman"/>
          <w:sz w:val="20"/>
          <w:szCs w:val="20"/>
        </w:rPr>
        <w:t xml:space="preserve"> la loro forza conformativa sugli enunciati costituzionali, sovrascrivendo le interpretazioni evolutive della libertà di concorrenza accreditate dalla Corte di giustizia alle virtualità interpretative delle norme costituzionali. È accaduto così che il diritto UE, senza trovare ostacolo nella Corte costituzionale, ha collocato fuori dal perimetro delle interpretazioni storicamente plausibili letture </w:t>
      </w:r>
      <w:r w:rsidR="00AB4548" w:rsidRPr="00123A4F">
        <w:rPr>
          <w:rFonts w:ascii="Times New Roman" w:hAnsi="Times New Roman" w:cs="Times New Roman"/>
          <w:sz w:val="20"/>
          <w:szCs w:val="20"/>
        </w:rPr>
        <w:t xml:space="preserve">accentuatamente </w:t>
      </w:r>
      <w:r w:rsidRPr="00123A4F">
        <w:rPr>
          <w:rFonts w:ascii="Times New Roman" w:hAnsi="Times New Roman" w:cs="Times New Roman"/>
          <w:sz w:val="20"/>
          <w:szCs w:val="20"/>
        </w:rPr>
        <w:t xml:space="preserve">dirigiste della </w:t>
      </w:r>
      <w:r w:rsidR="00012DF8" w:rsidRPr="00123A4F">
        <w:rPr>
          <w:rFonts w:ascii="Times New Roman" w:hAnsi="Times New Roman" w:cs="Times New Roman"/>
          <w:sz w:val="20"/>
          <w:szCs w:val="20"/>
        </w:rPr>
        <w:t xml:space="preserve">parte </w:t>
      </w:r>
      <w:r w:rsidRPr="00123A4F">
        <w:rPr>
          <w:rFonts w:ascii="Times New Roman" w:hAnsi="Times New Roman" w:cs="Times New Roman"/>
          <w:sz w:val="20"/>
          <w:szCs w:val="20"/>
        </w:rPr>
        <w:t>economica</w:t>
      </w:r>
      <w:r w:rsidR="00012DF8" w:rsidRPr="00123A4F">
        <w:rPr>
          <w:rFonts w:ascii="Times New Roman" w:hAnsi="Times New Roman" w:cs="Times New Roman"/>
          <w:sz w:val="20"/>
          <w:szCs w:val="20"/>
        </w:rPr>
        <w:t xml:space="preserve"> della Costituzione</w:t>
      </w:r>
      <w:r w:rsidRPr="00123A4F">
        <w:rPr>
          <w:rFonts w:ascii="Times New Roman" w:hAnsi="Times New Roman" w:cs="Times New Roman"/>
          <w:sz w:val="20"/>
          <w:szCs w:val="20"/>
        </w:rPr>
        <w:t xml:space="preserve">. Ha così avuto diritto di cittadinanza la libertà di concorrenza, il cui fondamento costituzionale poteva apparire ed era apparso nel dibattito dottrinale incerto. Sul punto, tra i moltissimi, v. almeno </w:t>
      </w:r>
      <w:r w:rsidRPr="00123A4F">
        <w:rPr>
          <w:rFonts w:ascii="Times New Roman" w:hAnsi="Times New Roman" w:cs="Times New Roman"/>
          <w:smallCaps/>
          <w:sz w:val="20"/>
          <w:szCs w:val="20"/>
        </w:rPr>
        <w:t>M. Luciani</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La c.d. Costituzione economica tra diritto europeo e diritto internazionale</w:t>
      </w:r>
      <w:r w:rsidRPr="00123A4F">
        <w:rPr>
          <w:rFonts w:ascii="Times New Roman" w:hAnsi="Times New Roman" w:cs="Times New Roman"/>
          <w:sz w:val="20"/>
          <w:szCs w:val="20"/>
        </w:rPr>
        <w:t xml:space="preserve">, in </w:t>
      </w:r>
      <w:r w:rsidRPr="00123A4F">
        <w:rPr>
          <w:rFonts w:ascii="Times New Roman" w:hAnsi="Times New Roman" w:cs="Times New Roman"/>
          <w:smallCaps/>
          <w:sz w:val="20"/>
          <w:szCs w:val="20"/>
        </w:rPr>
        <w:t xml:space="preserve">Aa. </w:t>
      </w:r>
      <w:proofErr w:type="spellStart"/>
      <w:r w:rsidRPr="00123A4F">
        <w:rPr>
          <w:rFonts w:ascii="Times New Roman" w:hAnsi="Times New Roman" w:cs="Times New Roman"/>
          <w:smallCaps/>
          <w:sz w:val="20"/>
          <w:szCs w:val="20"/>
        </w:rPr>
        <w:t>Vv</w:t>
      </w:r>
      <w:proofErr w:type="spellEnd"/>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Giovanni Bognetti comparatista</w:t>
      </w:r>
      <w:r w:rsidRPr="00123A4F">
        <w:rPr>
          <w:rFonts w:ascii="Times New Roman" w:hAnsi="Times New Roman" w:cs="Times New Roman"/>
          <w:sz w:val="20"/>
          <w:szCs w:val="20"/>
        </w:rPr>
        <w:t xml:space="preserve">, Milano, 2014, p. 107 ss.; </w:t>
      </w:r>
      <w:r w:rsidRPr="00123A4F">
        <w:rPr>
          <w:rFonts w:ascii="Times New Roman" w:hAnsi="Times New Roman" w:cs="Times New Roman"/>
          <w:smallCaps/>
          <w:sz w:val="20"/>
          <w:szCs w:val="20"/>
        </w:rPr>
        <w:t>Id</w:t>
      </w:r>
      <w:r w:rsidR="000E39B0" w:rsidRPr="00123A4F">
        <w:rPr>
          <w:rFonts w:ascii="Times New Roman" w:hAnsi="Times New Roman" w:cs="Times New Roman"/>
          <w:smallCaps/>
          <w:sz w:val="20"/>
          <w:szCs w:val="20"/>
        </w:rPr>
        <w:t>.</w:t>
      </w:r>
      <w:r w:rsidRPr="00123A4F">
        <w:rPr>
          <w:rFonts w:ascii="Times New Roman" w:hAnsi="Times New Roman" w:cs="Times New Roman"/>
          <w:sz w:val="20"/>
          <w:szCs w:val="20"/>
        </w:rPr>
        <w:t>,</w:t>
      </w:r>
      <w:r w:rsidRPr="00123A4F">
        <w:rPr>
          <w:rFonts w:ascii="Times New Roman" w:hAnsi="Times New Roman" w:cs="Times New Roman"/>
          <w:smallCaps/>
          <w:sz w:val="20"/>
          <w:szCs w:val="20"/>
        </w:rPr>
        <w:t xml:space="preserve"> </w:t>
      </w:r>
      <w:r w:rsidRPr="00123A4F">
        <w:rPr>
          <w:rFonts w:ascii="Times New Roman" w:hAnsi="Times New Roman" w:cs="Times New Roman"/>
          <w:i/>
          <w:iCs/>
          <w:sz w:val="20"/>
          <w:szCs w:val="20"/>
        </w:rPr>
        <w:t>Brevi cenni sulla cosiddetta “costituzione economica” europea e sul suo rapporto con la Costituzione italiana</w:t>
      </w:r>
      <w:r w:rsidRPr="00123A4F">
        <w:rPr>
          <w:rFonts w:ascii="Times New Roman" w:hAnsi="Times New Roman" w:cs="Times New Roman"/>
          <w:sz w:val="20"/>
          <w:szCs w:val="20"/>
        </w:rPr>
        <w:t xml:space="preserve">, in </w:t>
      </w:r>
      <w:r w:rsidRPr="00123A4F">
        <w:rPr>
          <w:rFonts w:ascii="Times New Roman" w:hAnsi="Times New Roman" w:cs="Times New Roman"/>
          <w:smallCaps/>
          <w:sz w:val="20"/>
          <w:szCs w:val="20"/>
        </w:rPr>
        <w:t xml:space="preserve">S. Panunzio-E. </w:t>
      </w:r>
      <w:proofErr w:type="spellStart"/>
      <w:r w:rsidRPr="00123A4F">
        <w:rPr>
          <w:rFonts w:ascii="Times New Roman" w:hAnsi="Times New Roman" w:cs="Times New Roman"/>
          <w:smallCaps/>
          <w:sz w:val="20"/>
          <w:szCs w:val="20"/>
        </w:rPr>
        <w:t>Sciso</w:t>
      </w:r>
      <w:proofErr w:type="spellEnd"/>
      <w:r w:rsidRPr="00123A4F">
        <w:rPr>
          <w:rFonts w:ascii="Times New Roman" w:hAnsi="Times New Roman" w:cs="Times New Roman"/>
          <w:sz w:val="20"/>
          <w:szCs w:val="20"/>
        </w:rPr>
        <w:t xml:space="preserve"> (a cura di),</w:t>
      </w:r>
      <w:r w:rsidRPr="00123A4F">
        <w:rPr>
          <w:rFonts w:ascii="Times New Roman" w:hAnsi="Times New Roman" w:cs="Times New Roman"/>
          <w:i/>
          <w:iCs/>
          <w:sz w:val="20"/>
          <w:szCs w:val="20"/>
        </w:rPr>
        <w:t xml:space="preserve"> Le riforme istituzionali e la partecipazione dell’Italia all’Unione europea</w:t>
      </w:r>
      <w:r w:rsidRPr="00123A4F">
        <w:rPr>
          <w:rFonts w:ascii="Times New Roman" w:hAnsi="Times New Roman" w:cs="Times New Roman"/>
          <w:sz w:val="20"/>
          <w:szCs w:val="20"/>
        </w:rPr>
        <w:t>, Milano, 2002, p. 47 ss.;</w:t>
      </w:r>
      <w:r w:rsidRPr="00123A4F">
        <w:rPr>
          <w:rFonts w:ascii="Times New Roman" w:hAnsi="Times New Roman" w:cs="Times New Roman"/>
          <w:smallCaps/>
          <w:sz w:val="20"/>
          <w:szCs w:val="20"/>
        </w:rPr>
        <w:t xml:space="preserve"> M. Ainis-G. Pitruzzella </w:t>
      </w:r>
      <w:r w:rsidRPr="00123A4F">
        <w:rPr>
          <w:rFonts w:ascii="Times New Roman" w:hAnsi="Times New Roman" w:cs="Times New Roman"/>
          <w:sz w:val="20"/>
          <w:szCs w:val="20"/>
        </w:rPr>
        <w:t xml:space="preserve">(a cura di), </w:t>
      </w:r>
      <w:r w:rsidRPr="00123A4F">
        <w:rPr>
          <w:rFonts w:ascii="Times New Roman" w:hAnsi="Times New Roman" w:cs="Times New Roman"/>
          <w:i/>
          <w:iCs/>
          <w:sz w:val="20"/>
          <w:szCs w:val="20"/>
        </w:rPr>
        <w:t>I fondamenti costituzionali della concorrenza</w:t>
      </w:r>
      <w:r w:rsidRPr="00123A4F">
        <w:rPr>
          <w:rFonts w:ascii="Times New Roman" w:hAnsi="Times New Roman" w:cs="Times New Roman"/>
          <w:sz w:val="20"/>
          <w:szCs w:val="20"/>
        </w:rPr>
        <w:t>, Bari, 2019</w:t>
      </w:r>
      <w:r w:rsidRPr="00123A4F">
        <w:rPr>
          <w:rFonts w:ascii="Times New Roman" w:hAnsi="Times New Roman" w:cs="Times New Roman"/>
          <w:smallCaps/>
          <w:sz w:val="20"/>
          <w:szCs w:val="20"/>
        </w:rPr>
        <w:t xml:space="preserve">,  </w:t>
      </w:r>
      <w:r w:rsidRPr="00123A4F">
        <w:rPr>
          <w:rFonts w:ascii="Times New Roman" w:hAnsi="Times New Roman" w:cs="Times New Roman"/>
          <w:sz w:val="20"/>
          <w:szCs w:val="20"/>
        </w:rPr>
        <w:t xml:space="preserve">ed </w:t>
      </w:r>
      <w:r w:rsidRPr="00123A4F">
        <w:rPr>
          <w:rFonts w:ascii="Times New Roman" w:hAnsi="Times New Roman" w:cs="Times New Roman"/>
          <w:i/>
          <w:iCs/>
          <w:sz w:val="20"/>
          <w:szCs w:val="20"/>
        </w:rPr>
        <w:t>ivi</w:t>
      </w:r>
      <w:r w:rsidRPr="00123A4F">
        <w:rPr>
          <w:rFonts w:ascii="Times New Roman" w:hAnsi="Times New Roman" w:cs="Times New Roman"/>
          <w:sz w:val="20"/>
          <w:szCs w:val="20"/>
        </w:rPr>
        <w:t>, in particolare,</w:t>
      </w:r>
      <w:r w:rsidRPr="00123A4F">
        <w:rPr>
          <w:rFonts w:ascii="Times New Roman" w:hAnsi="Times New Roman" w:cs="Times New Roman"/>
          <w:smallCaps/>
          <w:sz w:val="20"/>
          <w:szCs w:val="20"/>
        </w:rPr>
        <w:t xml:space="preserve"> G. Pitruzzella</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Diritto costituzionale e diritto della concorrenza: c’è dell’altro oltre l’efficienza economica?</w:t>
      </w:r>
      <w:r w:rsidRPr="00123A4F">
        <w:rPr>
          <w:rFonts w:ascii="Times New Roman" w:hAnsi="Times New Roman" w:cs="Times New Roman"/>
          <w:smallCaps/>
          <w:sz w:val="20"/>
          <w:szCs w:val="20"/>
        </w:rPr>
        <w:t xml:space="preserve"> </w:t>
      </w:r>
      <w:r w:rsidRPr="00123A4F">
        <w:rPr>
          <w:rFonts w:ascii="Times New Roman" w:hAnsi="Times New Roman" w:cs="Times New Roman"/>
          <w:sz w:val="20"/>
          <w:szCs w:val="20"/>
        </w:rPr>
        <w:t>p. 9 ss</w:t>
      </w:r>
      <w:r w:rsidRPr="00123A4F">
        <w:rPr>
          <w:rFonts w:ascii="Times New Roman" w:hAnsi="Times New Roman" w:cs="Times New Roman"/>
          <w:smallCaps/>
          <w:sz w:val="20"/>
          <w:szCs w:val="20"/>
        </w:rPr>
        <w:t xml:space="preserve">.; M. Manetti, </w:t>
      </w:r>
      <w:r w:rsidRPr="00123A4F">
        <w:rPr>
          <w:rFonts w:ascii="Times New Roman" w:hAnsi="Times New Roman" w:cs="Times New Roman"/>
          <w:i/>
          <w:iCs/>
          <w:sz w:val="20"/>
          <w:szCs w:val="20"/>
        </w:rPr>
        <w:t>I fondamenti costituzionali della Concorrenza</w:t>
      </w:r>
      <w:r w:rsidRPr="00123A4F">
        <w:rPr>
          <w:rFonts w:ascii="Times New Roman" w:hAnsi="Times New Roman" w:cs="Times New Roman"/>
          <w:smallCaps/>
          <w:sz w:val="20"/>
          <w:szCs w:val="20"/>
        </w:rPr>
        <w:t xml:space="preserve">, </w:t>
      </w:r>
      <w:r w:rsidRPr="00123A4F">
        <w:rPr>
          <w:rFonts w:ascii="Times New Roman" w:hAnsi="Times New Roman" w:cs="Times New Roman"/>
          <w:sz w:val="20"/>
          <w:szCs w:val="20"/>
        </w:rPr>
        <w:t xml:space="preserve">in </w:t>
      </w:r>
      <w:r w:rsidRPr="00123A4F">
        <w:rPr>
          <w:rFonts w:ascii="Times New Roman" w:hAnsi="Times New Roman" w:cs="Times New Roman"/>
          <w:i/>
          <w:iCs/>
          <w:sz w:val="20"/>
          <w:szCs w:val="20"/>
        </w:rPr>
        <w:t>Quaderni Costituzionali</w:t>
      </w:r>
      <w:r w:rsidRPr="00123A4F">
        <w:rPr>
          <w:rFonts w:ascii="Times New Roman" w:hAnsi="Times New Roman" w:cs="Times New Roman"/>
          <w:smallCaps/>
          <w:sz w:val="20"/>
          <w:szCs w:val="20"/>
        </w:rPr>
        <w:t xml:space="preserve">, 2019, 2, </w:t>
      </w:r>
      <w:r w:rsidRPr="00123A4F">
        <w:rPr>
          <w:rFonts w:ascii="Times New Roman" w:hAnsi="Times New Roman" w:cs="Times New Roman"/>
          <w:sz w:val="20"/>
          <w:szCs w:val="20"/>
        </w:rPr>
        <w:t>pag.</w:t>
      </w:r>
      <w:r w:rsidRPr="00123A4F">
        <w:rPr>
          <w:rFonts w:ascii="Times New Roman" w:hAnsi="Times New Roman" w:cs="Times New Roman"/>
          <w:smallCaps/>
          <w:sz w:val="20"/>
          <w:szCs w:val="20"/>
        </w:rPr>
        <w:t xml:space="preserve"> 315 </w:t>
      </w:r>
      <w:r w:rsidRPr="00123A4F">
        <w:rPr>
          <w:rFonts w:ascii="Times New Roman" w:hAnsi="Times New Roman" w:cs="Times New Roman"/>
          <w:sz w:val="20"/>
          <w:szCs w:val="20"/>
        </w:rPr>
        <w:t xml:space="preserve">ss.; </w:t>
      </w:r>
      <w:r w:rsidRPr="00123A4F">
        <w:rPr>
          <w:rFonts w:ascii="Times New Roman" w:hAnsi="Times New Roman" w:cs="Times New Roman"/>
          <w:smallCaps/>
          <w:sz w:val="20"/>
          <w:szCs w:val="20"/>
        </w:rPr>
        <w:t>P. Bilancia</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Il modello dell’economia sociale di mercato tra Costituzione italiana e Trattati europei</w:t>
      </w:r>
      <w:r w:rsidRPr="00123A4F">
        <w:rPr>
          <w:rFonts w:ascii="Times New Roman" w:hAnsi="Times New Roman" w:cs="Times New Roman"/>
          <w:smallCaps/>
          <w:sz w:val="20"/>
          <w:szCs w:val="20"/>
        </w:rPr>
        <w:t xml:space="preserve">, </w:t>
      </w:r>
      <w:r w:rsidRPr="00123A4F">
        <w:rPr>
          <w:rFonts w:ascii="Times New Roman" w:hAnsi="Times New Roman" w:cs="Times New Roman"/>
          <w:sz w:val="20"/>
          <w:szCs w:val="20"/>
        </w:rPr>
        <w:t xml:space="preserve">in </w:t>
      </w:r>
      <w:r w:rsidRPr="00123A4F">
        <w:rPr>
          <w:rFonts w:ascii="Times New Roman" w:hAnsi="Times New Roman" w:cs="Times New Roman"/>
          <w:smallCaps/>
          <w:sz w:val="20"/>
          <w:szCs w:val="20"/>
        </w:rPr>
        <w:t xml:space="preserve">M. Melica-M. Mezzetti-V. </w:t>
      </w:r>
      <w:proofErr w:type="spellStart"/>
      <w:r w:rsidRPr="00123A4F">
        <w:rPr>
          <w:rFonts w:ascii="Times New Roman" w:hAnsi="Times New Roman" w:cs="Times New Roman"/>
          <w:smallCaps/>
          <w:sz w:val="20"/>
          <w:szCs w:val="20"/>
        </w:rPr>
        <w:t>Piergigli</w:t>
      </w:r>
      <w:proofErr w:type="spellEnd"/>
      <w:r w:rsidRPr="00123A4F">
        <w:rPr>
          <w:rFonts w:ascii="Times New Roman" w:hAnsi="Times New Roman" w:cs="Times New Roman"/>
          <w:sz w:val="20"/>
          <w:szCs w:val="20"/>
        </w:rPr>
        <w:t xml:space="preserve"> (a cura di), </w:t>
      </w:r>
      <w:r w:rsidRPr="00123A4F">
        <w:rPr>
          <w:rFonts w:ascii="Times New Roman" w:hAnsi="Times New Roman" w:cs="Times New Roman"/>
          <w:i/>
          <w:iCs/>
          <w:sz w:val="20"/>
          <w:szCs w:val="20"/>
        </w:rPr>
        <w:t>Studi in onore di Giuseppe De Vergottini</w:t>
      </w:r>
      <w:r w:rsidRPr="00123A4F">
        <w:rPr>
          <w:rFonts w:ascii="Times New Roman" w:hAnsi="Times New Roman" w:cs="Times New Roman"/>
          <w:sz w:val="20"/>
          <w:szCs w:val="20"/>
        </w:rPr>
        <w:t>, vol. III, Assago-Padova, 2015, p. 2223 ss.;</w:t>
      </w:r>
      <w:r w:rsidRPr="00123A4F">
        <w:rPr>
          <w:rFonts w:ascii="Times New Roman" w:hAnsi="Times New Roman" w:cs="Times New Roman"/>
          <w:smallCaps/>
          <w:sz w:val="20"/>
          <w:szCs w:val="20"/>
        </w:rPr>
        <w:t xml:space="preserve"> G. De Vergottini</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La Costituzione economica italiana: passato e attualità</w:t>
      </w:r>
      <w:r w:rsidRPr="00123A4F">
        <w:rPr>
          <w:rFonts w:ascii="Times New Roman" w:hAnsi="Times New Roman" w:cs="Times New Roman"/>
          <w:sz w:val="20"/>
          <w:szCs w:val="20"/>
        </w:rPr>
        <w:t>, in</w:t>
      </w:r>
      <w:r w:rsidRPr="00123A4F">
        <w:rPr>
          <w:rFonts w:ascii="Times New Roman" w:hAnsi="Times New Roman" w:cs="Times New Roman"/>
          <w:i/>
          <w:iCs/>
          <w:sz w:val="20"/>
          <w:szCs w:val="20"/>
        </w:rPr>
        <w:t xml:space="preserve"> Diritto e Società</w:t>
      </w:r>
      <w:r w:rsidRPr="00123A4F">
        <w:rPr>
          <w:rFonts w:ascii="Times New Roman" w:hAnsi="Times New Roman" w:cs="Times New Roman"/>
          <w:sz w:val="20"/>
          <w:szCs w:val="20"/>
        </w:rPr>
        <w:t>, 2010, p. 333 ss.</w:t>
      </w:r>
      <w:r w:rsidRPr="00123A4F">
        <w:rPr>
          <w:rFonts w:ascii="Times New Roman" w:hAnsi="Times New Roman" w:cs="Times New Roman"/>
          <w:smallCaps/>
          <w:sz w:val="20"/>
          <w:szCs w:val="20"/>
        </w:rPr>
        <w:t>; F. Donati</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La tutela della concorrenza tra Costituzione e diritto dell’Unione europea</w:t>
      </w:r>
      <w:r w:rsidRPr="00123A4F">
        <w:rPr>
          <w:rFonts w:ascii="Times New Roman" w:hAnsi="Times New Roman" w:cs="Times New Roman"/>
          <w:sz w:val="20"/>
          <w:szCs w:val="20"/>
        </w:rPr>
        <w:t xml:space="preserve">, in </w:t>
      </w:r>
      <w:r w:rsidRPr="00123A4F">
        <w:rPr>
          <w:rFonts w:ascii="Times New Roman" w:hAnsi="Times New Roman" w:cs="Times New Roman"/>
          <w:i/>
          <w:iCs/>
          <w:sz w:val="20"/>
          <w:szCs w:val="20"/>
        </w:rPr>
        <w:t>Rivista della regolazione dei mercati</w:t>
      </w:r>
      <w:r w:rsidRPr="00123A4F">
        <w:rPr>
          <w:rFonts w:ascii="Times New Roman" w:hAnsi="Times New Roman" w:cs="Times New Roman"/>
          <w:sz w:val="20"/>
          <w:szCs w:val="20"/>
        </w:rPr>
        <w:t xml:space="preserve">, </w:t>
      </w:r>
      <w:r w:rsidRPr="00123A4F">
        <w:rPr>
          <w:rFonts w:ascii="Times New Roman" w:hAnsi="Times New Roman" w:cs="Times New Roman"/>
          <w:smallCaps/>
          <w:sz w:val="20"/>
          <w:szCs w:val="20"/>
        </w:rPr>
        <w:t xml:space="preserve">2020, 1, </w:t>
      </w:r>
      <w:r w:rsidRPr="00123A4F">
        <w:rPr>
          <w:rFonts w:ascii="Times New Roman" w:hAnsi="Times New Roman" w:cs="Times New Roman"/>
          <w:sz w:val="20"/>
          <w:szCs w:val="20"/>
        </w:rPr>
        <w:t>p. 13 ss</w:t>
      </w:r>
      <w:r w:rsidRPr="00123A4F">
        <w:rPr>
          <w:rFonts w:ascii="Times New Roman" w:hAnsi="Times New Roman" w:cs="Times New Roman"/>
          <w:smallCaps/>
          <w:sz w:val="20"/>
          <w:szCs w:val="20"/>
        </w:rPr>
        <w:t>.; M. Libertini</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Sulla nozione di libertà economica</w:t>
      </w:r>
      <w:r w:rsidRPr="00123A4F">
        <w:rPr>
          <w:rFonts w:ascii="Times New Roman" w:hAnsi="Times New Roman" w:cs="Times New Roman"/>
          <w:sz w:val="20"/>
          <w:szCs w:val="20"/>
        </w:rPr>
        <w:t xml:space="preserve">, in </w:t>
      </w:r>
      <w:r w:rsidRPr="00123A4F">
        <w:rPr>
          <w:rFonts w:ascii="Times New Roman" w:hAnsi="Times New Roman" w:cs="Times New Roman"/>
          <w:i/>
          <w:iCs/>
          <w:sz w:val="20"/>
          <w:szCs w:val="20"/>
        </w:rPr>
        <w:t>Moneta e Credito</w:t>
      </w:r>
      <w:r w:rsidRPr="00123A4F">
        <w:rPr>
          <w:rFonts w:ascii="Times New Roman" w:hAnsi="Times New Roman" w:cs="Times New Roman"/>
          <w:sz w:val="20"/>
          <w:szCs w:val="20"/>
        </w:rPr>
        <w:t xml:space="preserve">, 2019, p. 301 ss.; </w:t>
      </w:r>
      <w:r w:rsidRPr="00123A4F">
        <w:rPr>
          <w:rFonts w:ascii="Times New Roman" w:hAnsi="Times New Roman" w:cs="Times New Roman"/>
          <w:smallCaps/>
          <w:sz w:val="20"/>
          <w:szCs w:val="20"/>
        </w:rPr>
        <w:t>Id</w:t>
      </w:r>
      <w:r w:rsidR="000E39B0" w:rsidRPr="00123A4F">
        <w:rPr>
          <w:rFonts w:ascii="Times New Roman" w:hAnsi="Times New Roman" w:cs="Times New Roman"/>
          <w:smallCaps/>
          <w:sz w:val="20"/>
          <w:szCs w:val="20"/>
        </w:rPr>
        <w:t>.</w:t>
      </w:r>
      <w:r w:rsidRPr="00123A4F">
        <w:rPr>
          <w:rFonts w:ascii="Times New Roman" w:hAnsi="Times New Roman" w:cs="Times New Roman"/>
          <w:sz w:val="20"/>
          <w:szCs w:val="20"/>
        </w:rPr>
        <w:t>,</w:t>
      </w:r>
      <w:r w:rsidRPr="00123A4F">
        <w:rPr>
          <w:rFonts w:ascii="Times New Roman" w:hAnsi="Times New Roman" w:cs="Times New Roman"/>
          <w:smallCaps/>
          <w:sz w:val="20"/>
          <w:szCs w:val="20"/>
        </w:rPr>
        <w:t xml:space="preserve"> </w:t>
      </w:r>
      <w:r w:rsidRPr="00123A4F">
        <w:rPr>
          <w:rFonts w:ascii="Times New Roman" w:hAnsi="Times New Roman" w:cs="Times New Roman"/>
          <w:i/>
          <w:iCs/>
          <w:sz w:val="20"/>
          <w:szCs w:val="20"/>
        </w:rPr>
        <w:t>La tutela della concorrenza nell’ordinamento italiano: dal codice civile del 1942 alla riforma costituzionale del 2001</w:t>
      </w:r>
      <w:r w:rsidRPr="00123A4F">
        <w:rPr>
          <w:rFonts w:ascii="Times New Roman" w:hAnsi="Times New Roman" w:cs="Times New Roman"/>
          <w:sz w:val="20"/>
          <w:szCs w:val="20"/>
        </w:rPr>
        <w:t xml:space="preserve">, in </w:t>
      </w:r>
      <w:r w:rsidRPr="00123A4F">
        <w:rPr>
          <w:rFonts w:ascii="Times New Roman" w:hAnsi="Times New Roman" w:cs="Times New Roman"/>
          <w:i/>
          <w:iCs/>
          <w:sz w:val="20"/>
          <w:szCs w:val="20"/>
        </w:rPr>
        <w:t>Moneta e Credito</w:t>
      </w:r>
      <w:r w:rsidRPr="00123A4F">
        <w:rPr>
          <w:rFonts w:ascii="Times New Roman" w:hAnsi="Times New Roman" w:cs="Times New Roman"/>
          <w:sz w:val="20"/>
          <w:szCs w:val="20"/>
        </w:rPr>
        <w:t xml:space="preserve">, 2015, p. 370 ss.; </w:t>
      </w:r>
      <w:r w:rsidRPr="00123A4F">
        <w:rPr>
          <w:rFonts w:ascii="Times New Roman" w:hAnsi="Times New Roman" w:cs="Times New Roman"/>
          <w:smallCaps/>
          <w:sz w:val="20"/>
          <w:szCs w:val="20"/>
        </w:rPr>
        <w:t>G. Morbidelli</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Iniziativa economica privata</w:t>
      </w:r>
      <w:r w:rsidRPr="00123A4F">
        <w:rPr>
          <w:rFonts w:ascii="Times New Roman" w:hAnsi="Times New Roman" w:cs="Times New Roman"/>
          <w:sz w:val="20"/>
          <w:szCs w:val="20"/>
        </w:rPr>
        <w:t xml:space="preserve">, in </w:t>
      </w:r>
      <w:r w:rsidRPr="00123A4F">
        <w:rPr>
          <w:rFonts w:ascii="Times New Roman" w:hAnsi="Times New Roman" w:cs="Times New Roman"/>
          <w:i/>
          <w:iCs/>
          <w:sz w:val="20"/>
          <w:szCs w:val="20"/>
        </w:rPr>
        <w:t>Enc. giur.</w:t>
      </w:r>
      <w:r w:rsidRPr="00123A4F">
        <w:rPr>
          <w:rFonts w:ascii="Times New Roman" w:hAnsi="Times New Roman" w:cs="Times New Roman"/>
          <w:sz w:val="20"/>
          <w:szCs w:val="20"/>
        </w:rPr>
        <w:t xml:space="preserve">, vol. XVII, Roma, 1989; </w:t>
      </w:r>
      <w:r w:rsidRPr="00123A4F">
        <w:rPr>
          <w:rFonts w:ascii="Times New Roman" w:hAnsi="Times New Roman" w:cs="Times New Roman"/>
          <w:smallCaps/>
          <w:sz w:val="20"/>
          <w:szCs w:val="20"/>
        </w:rPr>
        <w:t>A. Pace</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Problematica delle libertà costituzionali. Parte speciale</w:t>
      </w:r>
      <w:r w:rsidRPr="00123A4F">
        <w:rPr>
          <w:rFonts w:ascii="Times New Roman" w:hAnsi="Times New Roman" w:cs="Times New Roman"/>
          <w:sz w:val="20"/>
          <w:szCs w:val="20"/>
        </w:rPr>
        <w:t xml:space="preserve">, vol. II, Padova, 1992, p. 493 ss. </w:t>
      </w:r>
    </w:p>
  </w:footnote>
  <w:footnote w:id="13">
    <w:p w14:paraId="5C4B8A38" w14:textId="77777777" w:rsidR="00FF3EEB" w:rsidRPr="00123A4F" w:rsidRDefault="00FF3EEB" w:rsidP="00FF3EEB">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Così Corte cost., </w:t>
      </w:r>
      <w:proofErr w:type="spellStart"/>
      <w:r w:rsidRPr="00123A4F">
        <w:rPr>
          <w:rFonts w:ascii="Times New Roman" w:hAnsi="Times New Roman" w:cs="Times New Roman"/>
        </w:rPr>
        <w:t>sent</w:t>
      </w:r>
      <w:proofErr w:type="spellEnd"/>
      <w:r w:rsidRPr="00123A4F">
        <w:rPr>
          <w:rFonts w:ascii="Times New Roman" w:hAnsi="Times New Roman" w:cs="Times New Roman"/>
        </w:rPr>
        <w:t xml:space="preserve">. n. 170 del 1984, punto 8 del </w:t>
      </w:r>
      <w:r w:rsidRPr="00123A4F">
        <w:rPr>
          <w:rFonts w:ascii="Times New Roman" w:hAnsi="Times New Roman" w:cs="Times New Roman"/>
          <w:i/>
          <w:iCs/>
        </w:rPr>
        <w:t>Considerato in diritto</w:t>
      </w:r>
      <w:r w:rsidRPr="00123A4F">
        <w:rPr>
          <w:rFonts w:ascii="Times New Roman" w:hAnsi="Times New Roman" w:cs="Times New Roman"/>
        </w:rPr>
        <w:t xml:space="preserve">. </w:t>
      </w:r>
    </w:p>
  </w:footnote>
  <w:footnote w:id="14">
    <w:p w14:paraId="4EFC5109" w14:textId="2957E72D"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6CBF" w:rsidRPr="00123A4F">
        <w:rPr>
          <w:rFonts w:ascii="Times New Roman" w:hAnsi="Times New Roman" w:cs="Times New Roman"/>
        </w:rPr>
        <w:t xml:space="preserve">Nella sentenza </w:t>
      </w:r>
      <w:r w:rsidR="00FE6CBF" w:rsidRPr="00123A4F">
        <w:rPr>
          <w:rFonts w:ascii="Times New Roman" w:hAnsi="Times New Roman" w:cs="Times New Roman"/>
          <w:i/>
          <w:iCs/>
        </w:rPr>
        <w:t>Solange I</w:t>
      </w:r>
      <w:r w:rsidR="00FE6CBF" w:rsidRPr="00123A4F">
        <w:rPr>
          <w:rFonts w:ascii="Times New Roman" w:hAnsi="Times New Roman" w:cs="Times New Roman"/>
        </w:rPr>
        <w:t xml:space="preserve"> del 1974 </w:t>
      </w:r>
      <w:r w:rsidRPr="00123A4F">
        <w:rPr>
          <w:rFonts w:ascii="Times New Roman" w:hAnsi="Times New Roman" w:cs="Times New Roman"/>
        </w:rPr>
        <w:t>(</w:t>
      </w:r>
      <w:proofErr w:type="spellStart"/>
      <w:r w:rsidRPr="00123A4F">
        <w:rPr>
          <w:rFonts w:ascii="Times New Roman" w:hAnsi="Times New Roman" w:cs="Times New Roman"/>
        </w:rPr>
        <w:t>BVerfGE</w:t>
      </w:r>
      <w:proofErr w:type="spellEnd"/>
      <w:r w:rsidRPr="00123A4F">
        <w:rPr>
          <w:rFonts w:ascii="Times New Roman" w:hAnsi="Times New Roman" w:cs="Times New Roman"/>
        </w:rPr>
        <w:t xml:space="preserve"> 37, 271 ss.) il </w:t>
      </w:r>
      <w:r w:rsidR="00FE6CBF" w:rsidRPr="00123A4F">
        <w:rPr>
          <w:rFonts w:ascii="Times New Roman" w:hAnsi="Times New Roman" w:cs="Times New Roman"/>
        </w:rPr>
        <w:t>T</w:t>
      </w:r>
      <w:r w:rsidRPr="00123A4F">
        <w:rPr>
          <w:rFonts w:ascii="Times New Roman" w:hAnsi="Times New Roman" w:cs="Times New Roman"/>
        </w:rPr>
        <w:t>ribunale costituzionale federale rivendica</w:t>
      </w:r>
      <w:r w:rsidR="00FE6CBF" w:rsidRPr="00123A4F">
        <w:rPr>
          <w:rFonts w:ascii="Times New Roman" w:hAnsi="Times New Roman" w:cs="Times New Roman"/>
        </w:rPr>
        <w:t>va</w:t>
      </w:r>
      <w:r w:rsidRPr="00123A4F">
        <w:rPr>
          <w:rFonts w:ascii="Times New Roman" w:hAnsi="Times New Roman" w:cs="Times New Roman"/>
        </w:rPr>
        <w:t xml:space="preserve"> la competenza a verificare se il diritto UE </w:t>
      </w:r>
      <w:r w:rsidR="00FE6CBF" w:rsidRPr="00123A4F">
        <w:rPr>
          <w:rFonts w:ascii="Times New Roman" w:hAnsi="Times New Roman" w:cs="Times New Roman"/>
        </w:rPr>
        <w:t xml:space="preserve">fosse </w:t>
      </w:r>
      <w:r w:rsidRPr="00123A4F">
        <w:rPr>
          <w:rFonts w:ascii="Times New Roman" w:hAnsi="Times New Roman" w:cs="Times New Roman"/>
        </w:rPr>
        <w:t xml:space="preserve">compatibile con i diritti fondamentali protetti dal </w:t>
      </w:r>
      <w:proofErr w:type="spellStart"/>
      <w:r w:rsidRPr="00123A4F">
        <w:rPr>
          <w:rFonts w:ascii="Times New Roman" w:hAnsi="Times New Roman" w:cs="Times New Roman"/>
          <w:i/>
          <w:iCs/>
        </w:rPr>
        <w:t>Grundgesetz</w:t>
      </w:r>
      <w:proofErr w:type="spellEnd"/>
      <w:r w:rsidR="00FE6CBF" w:rsidRPr="00123A4F">
        <w:rPr>
          <w:rFonts w:ascii="Times New Roman" w:hAnsi="Times New Roman" w:cs="Times New Roman"/>
        </w:rPr>
        <w:t xml:space="preserve">, </w:t>
      </w:r>
      <w:r w:rsidRPr="00123A4F">
        <w:rPr>
          <w:rFonts w:ascii="Times New Roman" w:hAnsi="Times New Roman" w:cs="Times New Roman"/>
        </w:rPr>
        <w:t>precisando che un simile tipo di controllo sarebbe stato esercitato ‘finché’ (</w:t>
      </w:r>
      <w:r w:rsidRPr="00123A4F">
        <w:rPr>
          <w:rFonts w:ascii="Times New Roman" w:hAnsi="Times New Roman" w:cs="Times New Roman"/>
          <w:i/>
          <w:iCs/>
        </w:rPr>
        <w:t>Solange</w:t>
      </w:r>
      <w:r w:rsidRPr="00123A4F">
        <w:rPr>
          <w:rFonts w:ascii="Times New Roman" w:hAnsi="Times New Roman" w:cs="Times New Roman"/>
        </w:rPr>
        <w:t xml:space="preserve">, appunto) il diritto europeo non </w:t>
      </w:r>
      <w:r w:rsidR="00FE6CBF" w:rsidRPr="00123A4F">
        <w:rPr>
          <w:rFonts w:ascii="Times New Roman" w:hAnsi="Times New Roman" w:cs="Times New Roman"/>
        </w:rPr>
        <w:t xml:space="preserve">avesse contemplato </w:t>
      </w:r>
      <w:r w:rsidRPr="00123A4F">
        <w:rPr>
          <w:rFonts w:ascii="Times New Roman" w:hAnsi="Times New Roman" w:cs="Times New Roman"/>
        </w:rPr>
        <w:t>un catalogo di diritti fondamentali equivalente nella sua essenza a quello apprestato dalla Legge fondamentale tedesca.</w:t>
      </w:r>
      <w:r w:rsidR="00FE6CBF" w:rsidRPr="00123A4F">
        <w:rPr>
          <w:rFonts w:ascii="Times New Roman" w:hAnsi="Times New Roman" w:cs="Times New Roman"/>
        </w:rPr>
        <w:t xml:space="preserve"> </w:t>
      </w:r>
      <w:r w:rsidR="00977267" w:rsidRPr="00123A4F">
        <w:rPr>
          <w:rFonts w:ascii="Times New Roman" w:hAnsi="Times New Roman" w:cs="Times New Roman"/>
        </w:rPr>
        <w:t>S</w:t>
      </w:r>
      <w:r w:rsidR="00FE6CBF" w:rsidRPr="00123A4F">
        <w:rPr>
          <w:rFonts w:ascii="Times New Roman" w:hAnsi="Times New Roman" w:cs="Times New Roman"/>
        </w:rPr>
        <w:t xml:space="preserve">intomatico di un clima culturale non </w:t>
      </w:r>
      <w:r w:rsidR="00977267" w:rsidRPr="00123A4F">
        <w:rPr>
          <w:rFonts w:ascii="Times New Roman" w:hAnsi="Times New Roman" w:cs="Times New Roman"/>
        </w:rPr>
        <w:t xml:space="preserve">ancora proclive </w:t>
      </w:r>
      <w:r w:rsidR="00FE6CBF" w:rsidRPr="00123A4F">
        <w:rPr>
          <w:rFonts w:ascii="Times New Roman" w:hAnsi="Times New Roman" w:cs="Times New Roman"/>
        </w:rPr>
        <w:t xml:space="preserve">a riconoscere alle giurisdizioni costituzionali ciò che </w:t>
      </w:r>
      <w:r w:rsidR="00977267" w:rsidRPr="00123A4F">
        <w:rPr>
          <w:rFonts w:ascii="Times New Roman" w:hAnsi="Times New Roman" w:cs="Times New Roman"/>
        </w:rPr>
        <w:t>pure dovrebbe essere connaturato</w:t>
      </w:r>
      <w:r w:rsidR="00FE6CBF" w:rsidRPr="00123A4F">
        <w:rPr>
          <w:rFonts w:ascii="Times New Roman" w:hAnsi="Times New Roman" w:cs="Times New Roman"/>
        </w:rPr>
        <w:t xml:space="preserve"> al</w:t>
      </w:r>
      <w:r w:rsidR="00977267" w:rsidRPr="00123A4F">
        <w:rPr>
          <w:rFonts w:ascii="Times New Roman" w:hAnsi="Times New Roman" w:cs="Times New Roman"/>
        </w:rPr>
        <w:t xml:space="preserve">la loro funzione istituzionale è il fatto che </w:t>
      </w:r>
      <w:r w:rsidRPr="00123A4F">
        <w:rPr>
          <w:rFonts w:ascii="Times New Roman" w:hAnsi="Times New Roman" w:cs="Times New Roman"/>
          <w:smallCaps/>
        </w:rPr>
        <w:t>S. Douglas-Scott</w:t>
      </w:r>
      <w:r w:rsidRPr="00123A4F">
        <w:rPr>
          <w:rFonts w:ascii="Times New Roman" w:hAnsi="Times New Roman" w:cs="Times New Roman"/>
        </w:rPr>
        <w:t xml:space="preserve">, </w:t>
      </w:r>
      <w:r w:rsidRPr="00123A4F">
        <w:rPr>
          <w:rFonts w:ascii="Times New Roman" w:hAnsi="Times New Roman" w:cs="Times New Roman"/>
          <w:i/>
        </w:rPr>
        <w:t xml:space="preserve">The </w:t>
      </w:r>
      <w:proofErr w:type="spellStart"/>
      <w:r w:rsidRPr="00123A4F">
        <w:rPr>
          <w:rFonts w:ascii="Times New Roman" w:hAnsi="Times New Roman" w:cs="Times New Roman"/>
          <w:i/>
        </w:rPr>
        <w:t>European</w:t>
      </w:r>
      <w:proofErr w:type="spellEnd"/>
      <w:r w:rsidRPr="00123A4F">
        <w:rPr>
          <w:rFonts w:ascii="Times New Roman" w:hAnsi="Times New Roman" w:cs="Times New Roman"/>
          <w:i/>
        </w:rPr>
        <w:t xml:space="preserve"> Union and </w:t>
      </w:r>
      <w:proofErr w:type="spellStart"/>
      <w:r w:rsidRPr="00123A4F">
        <w:rPr>
          <w:rFonts w:ascii="Times New Roman" w:hAnsi="Times New Roman" w:cs="Times New Roman"/>
          <w:i/>
        </w:rPr>
        <w:t>Fundamental</w:t>
      </w:r>
      <w:proofErr w:type="spellEnd"/>
      <w:r w:rsidRPr="00123A4F">
        <w:rPr>
          <w:rFonts w:ascii="Times New Roman" w:hAnsi="Times New Roman" w:cs="Times New Roman"/>
          <w:i/>
        </w:rPr>
        <w:t xml:space="preserve"> </w:t>
      </w:r>
      <w:proofErr w:type="spellStart"/>
      <w:r w:rsidRPr="00123A4F">
        <w:rPr>
          <w:rFonts w:ascii="Times New Roman" w:hAnsi="Times New Roman" w:cs="Times New Roman"/>
          <w:i/>
        </w:rPr>
        <w:t>Rights</w:t>
      </w:r>
      <w:proofErr w:type="spellEnd"/>
      <w:r w:rsidRPr="00123A4F">
        <w:rPr>
          <w:rFonts w:ascii="Times New Roman" w:hAnsi="Times New Roman" w:cs="Times New Roman"/>
        </w:rPr>
        <w:t xml:space="preserve">, in </w:t>
      </w:r>
      <w:r w:rsidRPr="00123A4F">
        <w:rPr>
          <w:rFonts w:ascii="Times New Roman" w:hAnsi="Times New Roman" w:cs="Times New Roman"/>
          <w:smallCaps/>
        </w:rPr>
        <w:t xml:space="preserve">R. Schutze – T. </w:t>
      </w:r>
      <w:proofErr w:type="spellStart"/>
      <w:r w:rsidRPr="00123A4F">
        <w:rPr>
          <w:rFonts w:ascii="Times New Roman" w:hAnsi="Times New Roman" w:cs="Times New Roman"/>
          <w:smallCaps/>
        </w:rPr>
        <w:t>Trimidas</w:t>
      </w:r>
      <w:proofErr w:type="spellEnd"/>
      <w:r w:rsidRPr="00123A4F">
        <w:rPr>
          <w:rFonts w:ascii="Times New Roman" w:hAnsi="Times New Roman" w:cs="Times New Roman"/>
          <w:smallCaps/>
        </w:rPr>
        <w:t xml:space="preserve"> (</w:t>
      </w:r>
      <w:proofErr w:type="spellStart"/>
      <w:r w:rsidRPr="00123A4F">
        <w:rPr>
          <w:rFonts w:ascii="Times New Roman" w:hAnsi="Times New Roman" w:cs="Times New Roman"/>
          <w:smallCaps/>
        </w:rPr>
        <w:t>eds</w:t>
      </w:r>
      <w:proofErr w:type="spellEnd"/>
      <w:r w:rsidRPr="00123A4F">
        <w:rPr>
          <w:rFonts w:ascii="Times New Roman" w:hAnsi="Times New Roman" w:cs="Times New Roman"/>
          <w:smallCaps/>
        </w:rPr>
        <w:t>.),</w:t>
      </w:r>
      <w:r w:rsidRPr="00123A4F">
        <w:rPr>
          <w:rFonts w:ascii="Times New Roman" w:hAnsi="Times New Roman" w:cs="Times New Roman"/>
        </w:rPr>
        <w:t xml:space="preserve"> </w:t>
      </w:r>
      <w:r w:rsidRPr="00123A4F">
        <w:rPr>
          <w:rFonts w:ascii="Times New Roman" w:hAnsi="Times New Roman" w:cs="Times New Roman"/>
          <w:i/>
        </w:rPr>
        <w:t xml:space="preserve">Oxford </w:t>
      </w:r>
      <w:proofErr w:type="spellStart"/>
      <w:r w:rsidRPr="00123A4F">
        <w:rPr>
          <w:rFonts w:ascii="Times New Roman" w:hAnsi="Times New Roman" w:cs="Times New Roman"/>
          <w:i/>
        </w:rPr>
        <w:t>Principles</w:t>
      </w:r>
      <w:proofErr w:type="spellEnd"/>
      <w:r w:rsidRPr="00123A4F">
        <w:rPr>
          <w:rFonts w:ascii="Times New Roman" w:hAnsi="Times New Roman" w:cs="Times New Roman"/>
          <w:i/>
        </w:rPr>
        <w:t xml:space="preserve"> of </w:t>
      </w:r>
      <w:proofErr w:type="spellStart"/>
      <w:r w:rsidRPr="00123A4F">
        <w:rPr>
          <w:rFonts w:ascii="Times New Roman" w:hAnsi="Times New Roman" w:cs="Times New Roman"/>
          <w:i/>
        </w:rPr>
        <w:t>European</w:t>
      </w:r>
      <w:proofErr w:type="spellEnd"/>
      <w:r w:rsidRPr="00123A4F">
        <w:rPr>
          <w:rFonts w:ascii="Times New Roman" w:hAnsi="Times New Roman" w:cs="Times New Roman"/>
          <w:i/>
        </w:rPr>
        <w:t xml:space="preserve"> Union Law</w:t>
      </w:r>
      <w:r w:rsidRPr="00123A4F">
        <w:rPr>
          <w:rFonts w:ascii="Times New Roman" w:hAnsi="Times New Roman" w:cs="Times New Roman"/>
        </w:rPr>
        <w:t>, Oxford Press, 2018, p. 408 ss., spec. p. 411, definisc</w:t>
      </w:r>
      <w:r w:rsidR="00FE6CBF" w:rsidRPr="00123A4F">
        <w:rPr>
          <w:rFonts w:ascii="Times New Roman" w:hAnsi="Times New Roman" w:cs="Times New Roman"/>
        </w:rPr>
        <w:t>a</w:t>
      </w:r>
      <w:r w:rsidRPr="00123A4F">
        <w:rPr>
          <w:rFonts w:ascii="Times New Roman" w:hAnsi="Times New Roman" w:cs="Times New Roman"/>
        </w:rPr>
        <w:t xml:space="preserve"> </w:t>
      </w:r>
      <w:r w:rsidRPr="00123A4F">
        <w:rPr>
          <w:rFonts w:ascii="Times New Roman" w:hAnsi="Times New Roman" w:cs="Times New Roman"/>
          <w:i/>
        </w:rPr>
        <w:t>“</w:t>
      </w:r>
      <w:proofErr w:type="spellStart"/>
      <w:r w:rsidRPr="00123A4F">
        <w:rPr>
          <w:rFonts w:ascii="Times New Roman" w:hAnsi="Times New Roman" w:cs="Times New Roman"/>
          <w:i/>
        </w:rPr>
        <w:t>infamous</w:t>
      </w:r>
      <w:proofErr w:type="spellEnd"/>
      <w:r w:rsidRPr="00123A4F">
        <w:rPr>
          <w:rFonts w:ascii="Times New Roman" w:hAnsi="Times New Roman" w:cs="Times New Roman"/>
          <w:i/>
        </w:rPr>
        <w:t>”</w:t>
      </w:r>
      <w:r w:rsidR="00FE6CBF" w:rsidRPr="00123A4F">
        <w:rPr>
          <w:rFonts w:ascii="Times New Roman" w:hAnsi="Times New Roman" w:cs="Times New Roman"/>
          <w:iCs/>
        </w:rPr>
        <w:t xml:space="preserve"> la statuizione </w:t>
      </w:r>
      <w:r w:rsidR="00977267" w:rsidRPr="00123A4F">
        <w:rPr>
          <w:rFonts w:ascii="Times New Roman" w:hAnsi="Times New Roman" w:cs="Times New Roman"/>
          <w:iCs/>
        </w:rPr>
        <w:t xml:space="preserve">di </w:t>
      </w:r>
      <w:r w:rsidR="00977267" w:rsidRPr="00123A4F">
        <w:rPr>
          <w:rFonts w:ascii="Times New Roman" w:hAnsi="Times New Roman" w:cs="Times New Roman"/>
          <w:i/>
        </w:rPr>
        <w:t>Solange I</w:t>
      </w:r>
      <w:r w:rsidRPr="00123A4F">
        <w:rPr>
          <w:rFonts w:ascii="Times New Roman" w:hAnsi="Times New Roman" w:cs="Times New Roman"/>
        </w:rPr>
        <w:t xml:space="preserve">. </w:t>
      </w:r>
    </w:p>
  </w:footnote>
  <w:footnote w:id="15">
    <w:p w14:paraId="40BD93D2" w14:textId="47F32DD7"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0902BA" w:rsidRPr="00123A4F">
        <w:rPr>
          <w:rFonts w:ascii="Times New Roman" w:hAnsi="Times New Roman" w:cs="Times New Roman"/>
        </w:rPr>
        <w:t xml:space="preserve">Nella </w:t>
      </w:r>
      <w:r w:rsidRPr="00123A4F">
        <w:rPr>
          <w:rFonts w:ascii="Times New Roman" w:hAnsi="Times New Roman" w:cs="Times New Roman"/>
        </w:rPr>
        <w:t>sentenza Maastricht del 1993 (</w:t>
      </w:r>
      <w:proofErr w:type="spellStart"/>
      <w:r w:rsidRPr="00123A4F">
        <w:rPr>
          <w:rFonts w:ascii="Times New Roman" w:hAnsi="Times New Roman" w:cs="Times New Roman"/>
        </w:rPr>
        <w:t>BVerfG</w:t>
      </w:r>
      <w:proofErr w:type="spellEnd"/>
      <w:r w:rsidRPr="00123A4F">
        <w:rPr>
          <w:rFonts w:ascii="Times New Roman" w:hAnsi="Times New Roman" w:cs="Times New Roman"/>
        </w:rPr>
        <w:t>, 89/155, 12 ottobre 1993, punti 158 e ss</w:t>
      </w:r>
      <w:r w:rsidR="000902BA" w:rsidRPr="00123A4F">
        <w:rPr>
          <w:rFonts w:ascii="Times New Roman" w:hAnsi="Times New Roman" w:cs="Times New Roman"/>
        </w:rPr>
        <w:t>.</w:t>
      </w:r>
      <w:r w:rsidR="00FE6CBF" w:rsidRPr="00123A4F">
        <w:rPr>
          <w:rFonts w:ascii="Times New Roman" w:hAnsi="Times New Roman" w:cs="Times New Roman"/>
        </w:rPr>
        <w:t>)</w:t>
      </w:r>
      <w:r w:rsidR="000902BA" w:rsidRPr="00123A4F">
        <w:rPr>
          <w:rFonts w:ascii="Times New Roman" w:hAnsi="Times New Roman" w:cs="Times New Roman"/>
        </w:rPr>
        <w:t xml:space="preserve">, nel vagliare la </w:t>
      </w:r>
      <w:r w:rsidRPr="00123A4F">
        <w:rPr>
          <w:rFonts w:ascii="Times New Roman" w:hAnsi="Times New Roman" w:cs="Times New Roman"/>
        </w:rPr>
        <w:t xml:space="preserve">compatibilità del Trattato di Maastricht con i diritti fondamentali riconosciuti dal </w:t>
      </w:r>
      <w:proofErr w:type="spellStart"/>
      <w:r w:rsidRPr="00123A4F">
        <w:rPr>
          <w:rFonts w:ascii="Times New Roman" w:hAnsi="Times New Roman" w:cs="Times New Roman"/>
          <w:i/>
        </w:rPr>
        <w:t>Grundgesetz</w:t>
      </w:r>
      <w:proofErr w:type="spellEnd"/>
      <w:r w:rsidRPr="00123A4F">
        <w:rPr>
          <w:rFonts w:ascii="Times New Roman" w:hAnsi="Times New Roman" w:cs="Times New Roman"/>
        </w:rPr>
        <w:t xml:space="preserve">, il </w:t>
      </w:r>
      <w:proofErr w:type="spellStart"/>
      <w:r w:rsidR="000902BA" w:rsidRPr="00123A4F">
        <w:rPr>
          <w:rFonts w:ascii="Times New Roman" w:hAnsi="Times New Roman" w:cs="Times New Roman"/>
        </w:rPr>
        <w:t>BVerfG</w:t>
      </w:r>
      <w:proofErr w:type="spellEnd"/>
      <w:r w:rsidR="000902BA" w:rsidRPr="00123A4F">
        <w:rPr>
          <w:rFonts w:ascii="Times New Roman" w:hAnsi="Times New Roman" w:cs="Times New Roman"/>
        </w:rPr>
        <w:t xml:space="preserve"> ha</w:t>
      </w:r>
      <w:r w:rsidR="000D5BC8" w:rsidRPr="00123A4F">
        <w:rPr>
          <w:rFonts w:ascii="Times New Roman" w:hAnsi="Times New Roman" w:cs="Times New Roman"/>
        </w:rPr>
        <w:t xml:space="preserve"> ritenuto indispensabile</w:t>
      </w:r>
      <w:r w:rsidRPr="00123A4F">
        <w:rPr>
          <w:rFonts w:ascii="Times New Roman" w:hAnsi="Times New Roman" w:cs="Times New Roman"/>
        </w:rPr>
        <w:t xml:space="preserve"> </w:t>
      </w:r>
      <w:r w:rsidR="000902BA" w:rsidRPr="00123A4F">
        <w:rPr>
          <w:rFonts w:ascii="Times New Roman" w:hAnsi="Times New Roman" w:cs="Times New Roman"/>
        </w:rPr>
        <w:t xml:space="preserve">riconoscere poteri </w:t>
      </w:r>
      <w:r w:rsidRPr="00123A4F">
        <w:rPr>
          <w:rFonts w:ascii="Times New Roman" w:hAnsi="Times New Roman" w:cs="Times New Roman"/>
        </w:rPr>
        <w:t>di natura sostanziale al Parlamento nella definizione puntuale del trasferimento d</w:t>
      </w:r>
      <w:r w:rsidR="00FE6CBF" w:rsidRPr="00123A4F">
        <w:rPr>
          <w:rFonts w:ascii="Times New Roman" w:hAnsi="Times New Roman" w:cs="Times New Roman"/>
        </w:rPr>
        <w:t xml:space="preserve">i poteri </w:t>
      </w:r>
      <w:r w:rsidRPr="00123A4F">
        <w:rPr>
          <w:rFonts w:ascii="Times New Roman" w:hAnsi="Times New Roman" w:cs="Times New Roman"/>
        </w:rPr>
        <w:t xml:space="preserve">verso l’Unione europea, così gettando le basi per il c.d. </w:t>
      </w:r>
      <w:r w:rsidRPr="00123A4F">
        <w:rPr>
          <w:rFonts w:ascii="Times New Roman" w:hAnsi="Times New Roman" w:cs="Times New Roman"/>
          <w:i/>
        </w:rPr>
        <w:t xml:space="preserve">ultra </w:t>
      </w:r>
      <w:proofErr w:type="spellStart"/>
      <w:r w:rsidRPr="00123A4F">
        <w:rPr>
          <w:rFonts w:ascii="Times New Roman" w:hAnsi="Times New Roman" w:cs="Times New Roman"/>
          <w:i/>
        </w:rPr>
        <w:t>vires-kontrolle</w:t>
      </w:r>
      <w:proofErr w:type="spellEnd"/>
      <w:r w:rsidRPr="00123A4F">
        <w:rPr>
          <w:rFonts w:ascii="Times New Roman" w:hAnsi="Times New Roman" w:cs="Times New Roman"/>
        </w:rPr>
        <w:t xml:space="preserve">. </w:t>
      </w:r>
      <w:r w:rsidR="000902BA" w:rsidRPr="00123A4F">
        <w:rPr>
          <w:rFonts w:ascii="Times New Roman" w:hAnsi="Times New Roman" w:cs="Times New Roman"/>
        </w:rPr>
        <w:t xml:space="preserve">Per un’applicazione di questo controllo a </w:t>
      </w:r>
      <w:r w:rsidRPr="00123A4F">
        <w:rPr>
          <w:rFonts w:ascii="Times New Roman" w:hAnsi="Times New Roman" w:cs="Times New Roman"/>
        </w:rPr>
        <w:t xml:space="preserve">un atto delle </w:t>
      </w:r>
      <w:r w:rsidR="003B21F2" w:rsidRPr="00123A4F">
        <w:rPr>
          <w:rFonts w:ascii="Times New Roman" w:hAnsi="Times New Roman" w:cs="Times New Roman"/>
        </w:rPr>
        <w:t>i</w:t>
      </w:r>
      <w:r w:rsidRPr="00123A4F">
        <w:rPr>
          <w:rFonts w:ascii="Times New Roman" w:hAnsi="Times New Roman" w:cs="Times New Roman"/>
        </w:rPr>
        <w:t>stituzioni europee</w:t>
      </w:r>
      <w:r w:rsidR="000D5BC8" w:rsidRPr="00123A4F">
        <w:rPr>
          <w:rFonts w:ascii="Times New Roman" w:hAnsi="Times New Roman" w:cs="Times New Roman"/>
        </w:rPr>
        <w:t>,</w:t>
      </w:r>
      <w:r w:rsidRPr="00123A4F">
        <w:rPr>
          <w:rFonts w:ascii="Times New Roman" w:hAnsi="Times New Roman" w:cs="Times New Roman"/>
        </w:rPr>
        <w:t xml:space="preserve"> </w:t>
      </w:r>
      <w:r w:rsidR="000902BA" w:rsidRPr="00123A4F">
        <w:rPr>
          <w:rFonts w:ascii="Times New Roman" w:hAnsi="Times New Roman" w:cs="Times New Roman"/>
        </w:rPr>
        <w:t xml:space="preserve">si veda la </w:t>
      </w:r>
      <w:r w:rsidRPr="00123A4F">
        <w:rPr>
          <w:rFonts w:ascii="Times New Roman" w:hAnsi="Times New Roman" w:cs="Times New Roman"/>
        </w:rPr>
        <w:t>sentenza del 5 maggio 2020 (</w:t>
      </w:r>
      <w:proofErr w:type="spellStart"/>
      <w:r w:rsidRPr="00123A4F">
        <w:rPr>
          <w:rFonts w:ascii="Times New Roman" w:hAnsi="Times New Roman" w:cs="Times New Roman"/>
        </w:rPr>
        <w:t>BVerfG</w:t>
      </w:r>
      <w:proofErr w:type="spellEnd"/>
      <w:r w:rsidRPr="00123A4F">
        <w:rPr>
          <w:rFonts w:ascii="Times New Roman" w:hAnsi="Times New Roman" w:cs="Times New Roman"/>
        </w:rPr>
        <w:t xml:space="preserve">, 2 </w:t>
      </w:r>
      <w:proofErr w:type="spellStart"/>
      <w:r w:rsidRPr="00123A4F">
        <w:rPr>
          <w:rFonts w:ascii="Times New Roman" w:hAnsi="Times New Roman" w:cs="Times New Roman"/>
        </w:rPr>
        <w:t>BvR</w:t>
      </w:r>
      <w:proofErr w:type="spellEnd"/>
      <w:r w:rsidRPr="00123A4F">
        <w:rPr>
          <w:rFonts w:ascii="Times New Roman" w:hAnsi="Times New Roman" w:cs="Times New Roman"/>
        </w:rPr>
        <w:t xml:space="preserve"> 859/15 – 2 </w:t>
      </w:r>
      <w:proofErr w:type="spellStart"/>
      <w:r w:rsidRPr="00123A4F">
        <w:rPr>
          <w:rFonts w:ascii="Times New Roman" w:hAnsi="Times New Roman" w:cs="Times New Roman"/>
        </w:rPr>
        <w:t>BvR</w:t>
      </w:r>
      <w:proofErr w:type="spellEnd"/>
      <w:r w:rsidRPr="00123A4F">
        <w:rPr>
          <w:rFonts w:ascii="Times New Roman" w:hAnsi="Times New Roman" w:cs="Times New Roman"/>
        </w:rPr>
        <w:t xml:space="preserve"> 1651/15 – 2 </w:t>
      </w:r>
      <w:proofErr w:type="spellStart"/>
      <w:r w:rsidRPr="00123A4F">
        <w:rPr>
          <w:rFonts w:ascii="Times New Roman" w:hAnsi="Times New Roman" w:cs="Times New Roman"/>
        </w:rPr>
        <w:t>BvR</w:t>
      </w:r>
      <w:proofErr w:type="spellEnd"/>
      <w:r w:rsidRPr="00123A4F">
        <w:rPr>
          <w:rFonts w:ascii="Times New Roman" w:hAnsi="Times New Roman" w:cs="Times New Roman"/>
        </w:rPr>
        <w:t xml:space="preserve"> 2006/15 – 2 </w:t>
      </w:r>
      <w:proofErr w:type="spellStart"/>
      <w:r w:rsidRPr="00123A4F">
        <w:rPr>
          <w:rFonts w:ascii="Times New Roman" w:hAnsi="Times New Roman" w:cs="Times New Roman"/>
        </w:rPr>
        <w:t>BvR</w:t>
      </w:r>
      <w:proofErr w:type="spellEnd"/>
      <w:r w:rsidRPr="00123A4F">
        <w:rPr>
          <w:rFonts w:ascii="Times New Roman" w:hAnsi="Times New Roman" w:cs="Times New Roman"/>
        </w:rPr>
        <w:t xml:space="preserve"> 980/16, 5 maggio 2020)</w:t>
      </w:r>
      <w:r w:rsidR="000902BA" w:rsidRPr="00123A4F">
        <w:rPr>
          <w:rFonts w:ascii="Times New Roman" w:hAnsi="Times New Roman" w:cs="Times New Roman"/>
        </w:rPr>
        <w:t xml:space="preserve">, in cui il </w:t>
      </w:r>
      <w:r w:rsidRPr="00123A4F">
        <w:rPr>
          <w:rFonts w:ascii="Times New Roman" w:hAnsi="Times New Roman" w:cs="Times New Roman"/>
        </w:rPr>
        <w:t xml:space="preserve">Tribunale di Karlsruhe ha parzialmente accolto ricorsi individuali aventi a oggetto la procedura di acquisti condotta dalla BCE nell’ambito del </w:t>
      </w:r>
      <w:r w:rsidRPr="00123A4F">
        <w:rPr>
          <w:rFonts w:ascii="Times New Roman" w:hAnsi="Times New Roman" w:cs="Times New Roman"/>
          <w:i/>
        </w:rPr>
        <w:t xml:space="preserve">Public Sector Purchase </w:t>
      </w:r>
      <w:proofErr w:type="spellStart"/>
      <w:r w:rsidRPr="00123A4F">
        <w:rPr>
          <w:rFonts w:ascii="Times New Roman" w:hAnsi="Times New Roman" w:cs="Times New Roman"/>
          <w:i/>
        </w:rPr>
        <w:t>Programme</w:t>
      </w:r>
      <w:proofErr w:type="spellEnd"/>
      <w:r w:rsidRPr="00123A4F">
        <w:rPr>
          <w:rFonts w:ascii="Times New Roman" w:hAnsi="Times New Roman" w:cs="Times New Roman"/>
          <w:i/>
        </w:rPr>
        <w:t xml:space="preserve"> </w:t>
      </w:r>
      <w:r w:rsidRPr="00123A4F">
        <w:rPr>
          <w:rFonts w:ascii="Times New Roman" w:hAnsi="Times New Roman" w:cs="Times New Roman"/>
        </w:rPr>
        <w:t xml:space="preserve">(PSPP), meglio noto come </w:t>
      </w:r>
      <w:r w:rsidRPr="00123A4F">
        <w:rPr>
          <w:rFonts w:ascii="Times New Roman" w:hAnsi="Times New Roman" w:cs="Times New Roman"/>
          <w:i/>
        </w:rPr>
        <w:t xml:space="preserve">quantitative </w:t>
      </w:r>
      <w:proofErr w:type="spellStart"/>
      <w:r w:rsidRPr="00123A4F">
        <w:rPr>
          <w:rFonts w:ascii="Times New Roman" w:hAnsi="Times New Roman" w:cs="Times New Roman"/>
          <w:i/>
        </w:rPr>
        <w:t>easing</w:t>
      </w:r>
      <w:proofErr w:type="spellEnd"/>
      <w:r w:rsidRPr="00123A4F">
        <w:rPr>
          <w:rFonts w:ascii="Times New Roman" w:hAnsi="Times New Roman" w:cs="Times New Roman"/>
        </w:rPr>
        <w:t xml:space="preserve">. </w:t>
      </w:r>
      <w:r w:rsidR="00FE6CBF" w:rsidRPr="00123A4F">
        <w:rPr>
          <w:rFonts w:ascii="Times New Roman" w:hAnsi="Times New Roman" w:cs="Times New Roman"/>
        </w:rPr>
        <w:t>Fra i molti commenti alla pronuncia, si vedano almeno</w:t>
      </w:r>
      <w:r w:rsidRPr="00123A4F">
        <w:rPr>
          <w:rFonts w:ascii="Times New Roman" w:hAnsi="Times New Roman" w:cs="Times New Roman"/>
        </w:rPr>
        <w:t xml:space="preserve"> </w:t>
      </w:r>
      <w:r w:rsidRPr="00123A4F">
        <w:rPr>
          <w:rFonts w:ascii="Times New Roman" w:hAnsi="Times New Roman" w:cs="Times New Roman"/>
          <w:smallCaps/>
        </w:rPr>
        <w:t>F. C. Mayer</w:t>
      </w:r>
      <w:r w:rsidRPr="00123A4F">
        <w:rPr>
          <w:rFonts w:ascii="Times New Roman" w:hAnsi="Times New Roman" w:cs="Times New Roman"/>
        </w:rPr>
        <w:t xml:space="preserve">, </w:t>
      </w:r>
      <w:r w:rsidRPr="00123A4F">
        <w:rPr>
          <w:rFonts w:ascii="Times New Roman" w:hAnsi="Times New Roman" w:cs="Times New Roman"/>
          <w:i/>
        </w:rPr>
        <w:t xml:space="preserve">The Ultra Vires Ruling: </w:t>
      </w:r>
      <w:proofErr w:type="spellStart"/>
      <w:r w:rsidRPr="00123A4F">
        <w:rPr>
          <w:rFonts w:ascii="Times New Roman" w:hAnsi="Times New Roman" w:cs="Times New Roman"/>
          <w:i/>
        </w:rPr>
        <w:t>Deconstructing</w:t>
      </w:r>
      <w:proofErr w:type="spellEnd"/>
      <w:r w:rsidRPr="00123A4F">
        <w:rPr>
          <w:rFonts w:ascii="Times New Roman" w:hAnsi="Times New Roman" w:cs="Times New Roman"/>
          <w:i/>
        </w:rPr>
        <w:t xml:space="preserve"> the German Federal </w:t>
      </w:r>
      <w:proofErr w:type="spellStart"/>
      <w:r w:rsidRPr="00123A4F">
        <w:rPr>
          <w:rFonts w:ascii="Times New Roman" w:hAnsi="Times New Roman" w:cs="Times New Roman"/>
          <w:i/>
        </w:rPr>
        <w:t>Constitutional</w:t>
      </w:r>
      <w:proofErr w:type="spellEnd"/>
      <w:r w:rsidRPr="00123A4F">
        <w:rPr>
          <w:rFonts w:ascii="Times New Roman" w:hAnsi="Times New Roman" w:cs="Times New Roman"/>
          <w:i/>
        </w:rPr>
        <w:t xml:space="preserve"> </w:t>
      </w:r>
      <w:proofErr w:type="spellStart"/>
      <w:r w:rsidRPr="00123A4F">
        <w:rPr>
          <w:rFonts w:ascii="Times New Roman" w:hAnsi="Times New Roman" w:cs="Times New Roman"/>
          <w:i/>
        </w:rPr>
        <w:t>Court’s</w:t>
      </w:r>
      <w:proofErr w:type="spellEnd"/>
      <w:r w:rsidRPr="00123A4F">
        <w:rPr>
          <w:rFonts w:ascii="Times New Roman" w:hAnsi="Times New Roman" w:cs="Times New Roman"/>
          <w:i/>
        </w:rPr>
        <w:t xml:space="preserve"> PSPP </w:t>
      </w:r>
      <w:proofErr w:type="spellStart"/>
      <w:r w:rsidRPr="00123A4F">
        <w:rPr>
          <w:rFonts w:ascii="Times New Roman" w:hAnsi="Times New Roman" w:cs="Times New Roman"/>
          <w:i/>
        </w:rPr>
        <w:t>decision</w:t>
      </w:r>
      <w:proofErr w:type="spellEnd"/>
      <w:r w:rsidRPr="00123A4F">
        <w:rPr>
          <w:rFonts w:ascii="Times New Roman" w:hAnsi="Times New Roman" w:cs="Times New Roman"/>
          <w:i/>
        </w:rPr>
        <w:t xml:space="preserve"> of 5 May 2020</w:t>
      </w:r>
      <w:r w:rsidRPr="00123A4F">
        <w:rPr>
          <w:rFonts w:ascii="Times New Roman" w:hAnsi="Times New Roman" w:cs="Times New Roman"/>
        </w:rPr>
        <w:t xml:space="preserve">, in </w:t>
      </w:r>
      <w:proofErr w:type="spellStart"/>
      <w:r w:rsidRPr="00123A4F">
        <w:rPr>
          <w:rFonts w:ascii="Times New Roman" w:hAnsi="Times New Roman" w:cs="Times New Roman"/>
          <w:i/>
        </w:rPr>
        <w:t>European</w:t>
      </w:r>
      <w:proofErr w:type="spellEnd"/>
      <w:r w:rsidRPr="00123A4F">
        <w:rPr>
          <w:rFonts w:ascii="Times New Roman" w:hAnsi="Times New Roman" w:cs="Times New Roman"/>
          <w:i/>
        </w:rPr>
        <w:t xml:space="preserve"> </w:t>
      </w:r>
      <w:proofErr w:type="spellStart"/>
      <w:r w:rsidRPr="00123A4F">
        <w:rPr>
          <w:rFonts w:ascii="Times New Roman" w:hAnsi="Times New Roman" w:cs="Times New Roman"/>
          <w:i/>
        </w:rPr>
        <w:t>Constitutional</w:t>
      </w:r>
      <w:proofErr w:type="spellEnd"/>
      <w:r w:rsidRPr="00123A4F">
        <w:rPr>
          <w:rFonts w:ascii="Times New Roman" w:hAnsi="Times New Roman" w:cs="Times New Roman"/>
          <w:i/>
        </w:rPr>
        <w:t xml:space="preserve"> Law</w:t>
      </w:r>
      <w:r w:rsidRPr="00123A4F">
        <w:rPr>
          <w:rFonts w:ascii="Times New Roman" w:hAnsi="Times New Roman" w:cs="Times New Roman"/>
        </w:rPr>
        <w:t xml:space="preserve">, n. 4/2020, </w:t>
      </w:r>
      <w:r w:rsidR="000E39B0" w:rsidRPr="00123A4F">
        <w:rPr>
          <w:rFonts w:ascii="Times New Roman" w:hAnsi="Times New Roman" w:cs="Times New Roman"/>
        </w:rPr>
        <w:t xml:space="preserve">p. </w:t>
      </w:r>
      <w:r w:rsidRPr="00123A4F">
        <w:rPr>
          <w:rFonts w:ascii="Times New Roman" w:hAnsi="Times New Roman" w:cs="Times New Roman"/>
        </w:rPr>
        <w:t>733</w:t>
      </w:r>
      <w:r w:rsidR="009140D0" w:rsidRPr="00123A4F">
        <w:rPr>
          <w:rFonts w:ascii="Times New Roman" w:hAnsi="Times New Roman" w:cs="Times New Roman"/>
        </w:rPr>
        <w:t xml:space="preserve"> ss.</w:t>
      </w:r>
      <w:r w:rsidRPr="00123A4F">
        <w:rPr>
          <w:rFonts w:ascii="Times New Roman" w:hAnsi="Times New Roman" w:cs="Times New Roman"/>
        </w:rPr>
        <w:t xml:space="preserve">; </w:t>
      </w:r>
      <w:r w:rsidRPr="00123A4F">
        <w:rPr>
          <w:rFonts w:ascii="Times New Roman" w:hAnsi="Times New Roman" w:cs="Times New Roman"/>
          <w:smallCaps/>
        </w:rPr>
        <w:t xml:space="preserve">M. </w:t>
      </w:r>
      <w:proofErr w:type="spellStart"/>
      <w:r w:rsidRPr="00123A4F">
        <w:rPr>
          <w:rFonts w:ascii="Times New Roman" w:hAnsi="Times New Roman" w:cs="Times New Roman"/>
          <w:smallCaps/>
        </w:rPr>
        <w:t>Poiares</w:t>
      </w:r>
      <w:proofErr w:type="spellEnd"/>
      <w:r w:rsidRPr="00123A4F">
        <w:rPr>
          <w:rFonts w:ascii="Times New Roman" w:hAnsi="Times New Roman" w:cs="Times New Roman"/>
          <w:smallCaps/>
        </w:rPr>
        <w:t xml:space="preserve"> Maduro</w:t>
      </w:r>
      <w:r w:rsidRPr="00123A4F">
        <w:rPr>
          <w:rFonts w:ascii="Times New Roman" w:hAnsi="Times New Roman" w:cs="Times New Roman"/>
        </w:rPr>
        <w:t xml:space="preserve">, </w:t>
      </w:r>
      <w:r w:rsidRPr="00123A4F">
        <w:rPr>
          <w:rFonts w:ascii="Times New Roman" w:hAnsi="Times New Roman" w:cs="Times New Roman"/>
          <w:i/>
        </w:rPr>
        <w:t>Some Prelimi</w:t>
      </w:r>
      <w:r w:rsidR="0079306F" w:rsidRPr="00123A4F">
        <w:rPr>
          <w:rFonts w:ascii="Times New Roman" w:hAnsi="Times New Roman" w:cs="Times New Roman"/>
          <w:i/>
        </w:rPr>
        <w:t>n</w:t>
      </w:r>
      <w:r w:rsidRPr="00123A4F">
        <w:rPr>
          <w:rFonts w:ascii="Times New Roman" w:hAnsi="Times New Roman" w:cs="Times New Roman"/>
          <w:i/>
        </w:rPr>
        <w:t xml:space="preserve">ary </w:t>
      </w:r>
      <w:proofErr w:type="spellStart"/>
      <w:r w:rsidRPr="00123A4F">
        <w:rPr>
          <w:rFonts w:ascii="Times New Roman" w:hAnsi="Times New Roman" w:cs="Times New Roman"/>
          <w:i/>
        </w:rPr>
        <w:t>Remarks</w:t>
      </w:r>
      <w:proofErr w:type="spellEnd"/>
      <w:r w:rsidRPr="00123A4F">
        <w:rPr>
          <w:rFonts w:ascii="Times New Roman" w:hAnsi="Times New Roman" w:cs="Times New Roman"/>
          <w:i/>
        </w:rPr>
        <w:t xml:space="preserve"> on the PSPP </w:t>
      </w:r>
      <w:proofErr w:type="spellStart"/>
      <w:r w:rsidRPr="00123A4F">
        <w:rPr>
          <w:rFonts w:ascii="Times New Roman" w:hAnsi="Times New Roman" w:cs="Times New Roman"/>
          <w:i/>
        </w:rPr>
        <w:t>Decision</w:t>
      </w:r>
      <w:proofErr w:type="spellEnd"/>
      <w:r w:rsidRPr="00123A4F">
        <w:rPr>
          <w:rFonts w:ascii="Times New Roman" w:hAnsi="Times New Roman" w:cs="Times New Roman"/>
          <w:i/>
        </w:rPr>
        <w:t xml:space="preserve"> of the German </w:t>
      </w:r>
      <w:proofErr w:type="spellStart"/>
      <w:r w:rsidRPr="00123A4F">
        <w:rPr>
          <w:rFonts w:ascii="Times New Roman" w:hAnsi="Times New Roman" w:cs="Times New Roman"/>
          <w:i/>
        </w:rPr>
        <w:t>Constitutional</w:t>
      </w:r>
      <w:proofErr w:type="spellEnd"/>
      <w:r w:rsidRPr="00123A4F">
        <w:rPr>
          <w:rFonts w:ascii="Times New Roman" w:hAnsi="Times New Roman" w:cs="Times New Roman"/>
          <w:i/>
        </w:rPr>
        <w:t xml:space="preserve"> Court</w:t>
      </w:r>
      <w:r w:rsidRPr="00123A4F">
        <w:rPr>
          <w:rFonts w:ascii="Times New Roman" w:hAnsi="Times New Roman" w:cs="Times New Roman"/>
        </w:rPr>
        <w:t xml:space="preserve">, in </w:t>
      </w:r>
      <w:proofErr w:type="spellStart"/>
      <w:r w:rsidRPr="00123A4F">
        <w:rPr>
          <w:rFonts w:ascii="Times New Roman" w:hAnsi="Times New Roman" w:cs="Times New Roman"/>
          <w:i/>
        </w:rPr>
        <w:t>Verfassungsblog</w:t>
      </w:r>
      <w:proofErr w:type="spellEnd"/>
      <w:r w:rsidRPr="00123A4F">
        <w:rPr>
          <w:rFonts w:ascii="Times New Roman" w:hAnsi="Times New Roman" w:cs="Times New Roman"/>
          <w:i/>
        </w:rPr>
        <w:t>,</w:t>
      </w:r>
      <w:r w:rsidRPr="00123A4F">
        <w:rPr>
          <w:rFonts w:ascii="Times New Roman" w:hAnsi="Times New Roman" w:cs="Times New Roman"/>
        </w:rPr>
        <w:t xml:space="preserve"> 6 maggio 2020; </w:t>
      </w:r>
      <w:r w:rsidRPr="00123A4F">
        <w:rPr>
          <w:rFonts w:ascii="Times New Roman" w:hAnsi="Times New Roman" w:cs="Times New Roman"/>
          <w:smallCaps/>
        </w:rPr>
        <w:t>P. Faraguna</w:t>
      </w:r>
      <w:r w:rsidRPr="00123A4F">
        <w:rPr>
          <w:rFonts w:ascii="Times New Roman" w:hAnsi="Times New Roman" w:cs="Times New Roman"/>
        </w:rPr>
        <w:t xml:space="preserve">, </w:t>
      </w:r>
      <w:r w:rsidRPr="00123A4F">
        <w:rPr>
          <w:rFonts w:ascii="Times New Roman" w:hAnsi="Times New Roman" w:cs="Times New Roman"/>
          <w:i/>
        </w:rPr>
        <w:t xml:space="preserve">Il </w:t>
      </w:r>
      <w:proofErr w:type="spellStart"/>
      <w:r w:rsidRPr="00123A4F">
        <w:rPr>
          <w:rFonts w:ascii="Times New Roman" w:hAnsi="Times New Roman" w:cs="Times New Roman"/>
          <w:i/>
        </w:rPr>
        <w:t>Bundesverfassungsgericht</w:t>
      </w:r>
      <w:proofErr w:type="spellEnd"/>
      <w:r w:rsidRPr="00123A4F">
        <w:rPr>
          <w:rFonts w:ascii="Times New Roman" w:hAnsi="Times New Roman" w:cs="Times New Roman"/>
          <w:i/>
        </w:rPr>
        <w:t xml:space="preserve"> dichiara ultra </w:t>
      </w:r>
      <w:proofErr w:type="spellStart"/>
      <w:r w:rsidRPr="00123A4F">
        <w:rPr>
          <w:rFonts w:ascii="Times New Roman" w:hAnsi="Times New Roman" w:cs="Times New Roman"/>
          <w:i/>
        </w:rPr>
        <w:t>vires</w:t>
      </w:r>
      <w:proofErr w:type="spellEnd"/>
      <w:r w:rsidRPr="00123A4F">
        <w:rPr>
          <w:rFonts w:ascii="Times New Roman" w:hAnsi="Times New Roman" w:cs="Times New Roman"/>
          <w:i/>
        </w:rPr>
        <w:t xml:space="preserve"> il Quantitative </w:t>
      </w:r>
      <w:proofErr w:type="spellStart"/>
      <w:r w:rsidRPr="00123A4F">
        <w:rPr>
          <w:rFonts w:ascii="Times New Roman" w:hAnsi="Times New Roman" w:cs="Times New Roman"/>
          <w:i/>
        </w:rPr>
        <w:t>easing</w:t>
      </w:r>
      <w:proofErr w:type="spellEnd"/>
      <w:r w:rsidRPr="00123A4F">
        <w:rPr>
          <w:rFonts w:ascii="Times New Roman" w:hAnsi="Times New Roman" w:cs="Times New Roman"/>
          <w:i/>
        </w:rPr>
        <w:t xml:space="preserve"> (con uno sguardo al Pandemic Energy Purchase </w:t>
      </w:r>
      <w:proofErr w:type="spellStart"/>
      <w:r w:rsidRPr="00123A4F">
        <w:rPr>
          <w:rFonts w:ascii="Times New Roman" w:hAnsi="Times New Roman" w:cs="Times New Roman"/>
          <w:i/>
        </w:rPr>
        <w:t>Programme</w:t>
      </w:r>
      <w:proofErr w:type="spellEnd"/>
      <w:r w:rsidRPr="00123A4F">
        <w:rPr>
          <w:rFonts w:ascii="Times New Roman" w:hAnsi="Times New Roman" w:cs="Times New Roman"/>
          <w:i/>
        </w:rPr>
        <w:t>?)</w:t>
      </w:r>
      <w:r w:rsidRPr="00123A4F">
        <w:rPr>
          <w:rFonts w:ascii="Times New Roman" w:hAnsi="Times New Roman" w:cs="Times New Roman"/>
        </w:rPr>
        <w:t xml:space="preserve">, in </w:t>
      </w:r>
      <w:r w:rsidRPr="00123A4F">
        <w:rPr>
          <w:rFonts w:ascii="Times New Roman" w:hAnsi="Times New Roman" w:cs="Times New Roman"/>
          <w:i/>
        </w:rPr>
        <w:t xml:space="preserve">Forum di Quaderni </w:t>
      </w:r>
      <w:r w:rsidRPr="00123A4F">
        <w:rPr>
          <w:rFonts w:ascii="Times New Roman" w:hAnsi="Times New Roman" w:cs="Times New Roman"/>
        </w:rPr>
        <w:t xml:space="preserve">costituzionali, n. 2/2020, </w:t>
      </w:r>
      <w:r w:rsidR="000E39B0" w:rsidRPr="00123A4F">
        <w:rPr>
          <w:rFonts w:ascii="Times New Roman" w:hAnsi="Times New Roman" w:cs="Times New Roman"/>
        </w:rPr>
        <w:t xml:space="preserve">p. </w:t>
      </w:r>
      <w:r w:rsidRPr="00123A4F">
        <w:rPr>
          <w:rFonts w:ascii="Times New Roman" w:hAnsi="Times New Roman" w:cs="Times New Roman"/>
        </w:rPr>
        <w:t>307 ss.</w:t>
      </w:r>
      <w:r w:rsidR="0079306F" w:rsidRPr="00123A4F">
        <w:rPr>
          <w:rFonts w:ascii="Times New Roman" w:hAnsi="Times New Roman" w:cs="Times New Roman"/>
        </w:rPr>
        <w:t>;</w:t>
      </w:r>
      <w:r w:rsidRPr="00123A4F">
        <w:rPr>
          <w:rFonts w:ascii="Times New Roman" w:hAnsi="Times New Roman" w:cs="Times New Roman"/>
        </w:rPr>
        <w:t xml:space="preserve"> e, se </w:t>
      </w:r>
      <w:r w:rsidR="00FE6CBF" w:rsidRPr="00123A4F">
        <w:rPr>
          <w:rFonts w:ascii="Times New Roman" w:hAnsi="Times New Roman" w:cs="Times New Roman"/>
        </w:rPr>
        <w:t>si vuole</w:t>
      </w:r>
      <w:r w:rsidRPr="00123A4F">
        <w:rPr>
          <w:rFonts w:ascii="Times New Roman" w:hAnsi="Times New Roman" w:cs="Times New Roman"/>
        </w:rPr>
        <w:t xml:space="preserve">, </w:t>
      </w:r>
      <w:r w:rsidRPr="00123A4F">
        <w:rPr>
          <w:rFonts w:ascii="Times New Roman" w:hAnsi="Times New Roman" w:cs="Times New Roman"/>
          <w:smallCaps/>
        </w:rPr>
        <w:t>G. Scaccia,</w:t>
      </w:r>
      <w:r w:rsidRPr="00123A4F">
        <w:rPr>
          <w:rFonts w:ascii="Times New Roman" w:hAnsi="Times New Roman" w:cs="Times New Roman"/>
        </w:rPr>
        <w:t xml:space="preserve"> </w:t>
      </w:r>
      <w:r w:rsidRPr="00123A4F">
        <w:rPr>
          <w:rFonts w:ascii="Times New Roman" w:hAnsi="Times New Roman" w:cs="Times New Roman"/>
          <w:i/>
        </w:rPr>
        <w:t xml:space="preserve">Nazionalismo giudiziario e diritto dell’Unione europea: prime note alla sentenza del </w:t>
      </w:r>
      <w:proofErr w:type="spellStart"/>
      <w:r w:rsidRPr="00123A4F">
        <w:rPr>
          <w:rFonts w:ascii="Times New Roman" w:hAnsi="Times New Roman" w:cs="Times New Roman"/>
          <w:i/>
        </w:rPr>
        <w:t>BVerfG</w:t>
      </w:r>
      <w:proofErr w:type="spellEnd"/>
      <w:r w:rsidRPr="00123A4F">
        <w:rPr>
          <w:rFonts w:ascii="Times New Roman" w:hAnsi="Times New Roman" w:cs="Times New Roman"/>
          <w:i/>
        </w:rPr>
        <w:t xml:space="preserve"> sui programmi d’acquisto di titoli di debito della BCE</w:t>
      </w:r>
      <w:r w:rsidRPr="00123A4F">
        <w:rPr>
          <w:rFonts w:ascii="Times New Roman" w:hAnsi="Times New Roman" w:cs="Times New Roman"/>
        </w:rPr>
        <w:t xml:space="preserve">, in </w:t>
      </w:r>
      <w:r w:rsidRPr="00123A4F">
        <w:rPr>
          <w:rFonts w:ascii="Times New Roman" w:hAnsi="Times New Roman" w:cs="Times New Roman"/>
          <w:i/>
        </w:rPr>
        <w:t>DPCE online</w:t>
      </w:r>
      <w:r w:rsidRPr="00123A4F">
        <w:rPr>
          <w:rFonts w:ascii="Times New Roman" w:hAnsi="Times New Roman" w:cs="Times New Roman"/>
        </w:rPr>
        <w:t>, 9 maggio 2020</w:t>
      </w:r>
      <w:r w:rsidR="00977267" w:rsidRPr="00123A4F">
        <w:rPr>
          <w:rFonts w:ascii="Times New Roman" w:hAnsi="Times New Roman" w:cs="Times New Roman"/>
        </w:rPr>
        <w:t>.</w:t>
      </w:r>
    </w:p>
  </w:footnote>
  <w:footnote w:id="16">
    <w:p w14:paraId="43DCB90E" w14:textId="6CCD129C"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79306F" w:rsidRPr="00123A4F">
        <w:rPr>
          <w:rFonts w:ascii="Times New Roman" w:hAnsi="Times New Roman" w:cs="Times New Roman"/>
        </w:rPr>
        <w:t xml:space="preserve">Nella decisione sul Trattato di Lisbona del </w:t>
      </w:r>
      <w:r w:rsidRPr="00123A4F">
        <w:rPr>
          <w:rFonts w:ascii="Times New Roman" w:hAnsi="Times New Roman" w:cs="Times New Roman"/>
        </w:rPr>
        <w:t>2009 (</w:t>
      </w:r>
      <w:proofErr w:type="spellStart"/>
      <w:r w:rsidRPr="00123A4F">
        <w:rPr>
          <w:rFonts w:ascii="Times New Roman" w:hAnsi="Times New Roman" w:cs="Times New Roman"/>
        </w:rPr>
        <w:t>BVerfG</w:t>
      </w:r>
      <w:proofErr w:type="spellEnd"/>
      <w:r w:rsidRPr="00123A4F">
        <w:rPr>
          <w:rFonts w:ascii="Times New Roman" w:hAnsi="Times New Roman" w:cs="Times New Roman"/>
        </w:rPr>
        <w:t xml:space="preserve">, 2 </w:t>
      </w:r>
      <w:proofErr w:type="spellStart"/>
      <w:r w:rsidRPr="00123A4F">
        <w:rPr>
          <w:rFonts w:ascii="Times New Roman" w:hAnsi="Times New Roman" w:cs="Times New Roman"/>
        </w:rPr>
        <w:t>BvR</w:t>
      </w:r>
      <w:proofErr w:type="spellEnd"/>
      <w:r w:rsidRPr="00123A4F">
        <w:rPr>
          <w:rFonts w:ascii="Times New Roman" w:hAnsi="Times New Roman" w:cs="Times New Roman"/>
        </w:rPr>
        <w:t xml:space="preserve"> 182/09</w:t>
      </w:r>
      <w:r w:rsidR="008E3917" w:rsidRPr="00123A4F">
        <w:rPr>
          <w:rFonts w:ascii="Times New Roman" w:hAnsi="Times New Roman" w:cs="Times New Roman"/>
        </w:rPr>
        <w:t>)</w:t>
      </w:r>
      <w:r w:rsidRPr="00123A4F">
        <w:rPr>
          <w:rFonts w:ascii="Times New Roman" w:hAnsi="Times New Roman" w:cs="Times New Roman"/>
        </w:rPr>
        <w:t>,</w:t>
      </w:r>
      <w:r w:rsidR="008E3917" w:rsidRPr="00123A4F">
        <w:rPr>
          <w:rFonts w:ascii="Times New Roman" w:hAnsi="Times New Roman" w:cs="Times New Roman"/>
        </w:rPr>
        <w:t xml:space="preserve"> del </w:t>
      </w:r>
      <w:r w:rsidRPr="00123A4F">
        <w:rPr>
          <w:rFonts w:ascii="Times New Roman" w:hAnsi="Times New Roman" w:cs="Times New Roman"/>
        </w:rPr>
        <w:t xml:space="preserve">30 giugno 2009, il </w:t>
      </w:r>
      <w:proofErr w:type="spellStart"/>
      <w:r w:rsidRPr="00123A4F">
        <w:rPr>
          <w:rFonts w:ascii="Times New Roman" w:hAnsi="Times New Roman" w:cs="Times New Roman"/>
          <w:i/>
        </w:rPr>
        <w:t>Bundesverfassungsgericht</w:t>
      </w:r>
      <w:proofErr w:type="spellEnd"/>
      <w:r w:rsidR="00977267" w:rsidRPr="00123A4F">
        <w:rPr>
          <w:rFonts w:ascii="Times New Roman" w:hAnsi="Times New Roman" w:cs="Times New Roman"/>
        </w:rPr>
        <w:t xml:space="preserve">, riprendendo e sviluppando argomenti spesi in </w:t>
      </w:r>
      <w:r w:rsidR="00977267" w:rsidRPr="00123A4F">
        <w:rPr>
          <w:rFonts w:ascii="Times New Roman" w:hAnsi="Times New Roman" w:cs="Times New Roman"/>
          <w:i/>
          <w:iCs/>
        </w:rPr>
        <w:t>Solange I</w:t>
      </w:r>
      <w:r w:rsidR="00977267" w:rsidRPr="00123A4F">
        <w:rPr>
          <w:rFonts w:ascii="Times New Roman" w:hAnsi="Times New Roman" w:cs="Times New Roman"/>
        </w:rPr>
        <w:t xml:space="preserve">, </w:t>
      </w:r>
      <w:r w:rsidRPr="00123A4F">
        <w:rPr>
          <w:rFonts w:ascii="Times New Roman" w:hAnsi="Times New Roman" w:cs="Times New Roman"/>
        </w:rPr>
        <w:t>ha precisato che</w:t>
      </w:r>
      <w:r w:rsidR="0079306F" w:rsidRPr="00123A4F">
        <w:rPr>
          <w:rFonts w:ascii="Times New Roman" w:hAnsi="Times New Roman" w:cs="Times New Roman"/>
        </w:rPr>
        <w:t xml:space="preserve">, pur nell’ambito di una generale </w:t>
      </w:r>
      <w:r w:rsidRPr="00123A4F">
        <w:rPr>
          <w:rFonts w:ascii="Times New Roman" w:hAnsi="Times New Roman" w:cs="Times New Roman"/>
        </w:rPr>
        <w:t>apertura della Repubblica federale all’ordinamento europeo (</w:t>
      </w:r>
      <w:proofErr w:type="spellStart"/>
      <w:r w:rsidRPr="00123A4F">
        <w:rPr>
          <w:rFonts w:ascii="Times New Roman" w:hAnsi="Times New Roman" w:cs="Times New Roman"/>
          <w:i/>
        </w:rPr>
        <w:t>Europafreundlichkeit</w:t>
      </w:r>
      <w:proofErr w:type="spellEnd"/>
      <w:r w:rsidRPr="00123A4F">
        <w:rPr>
          <w:rFonts w:ascii="Times New Roman" w:hAnsi="Times New Roman" w:cs="Times New Roman"/>
        </w:rPr>
        <w:t xml:space="preserve">), </w:t>
      </w:r>
      <w:r w:rsidR="0079306F" w:rsidRPr="00123A4F">
        <w:rPr>
          <w:rFonts w:ascii="Times New Roman" w:hAnsi="Times New Roman" w:cs="Times New Roman"/>
        </w:rPr>
        <w:t xml:space="preserve">questo resta soggetto a controllo costituzionale alla stregua dei </w:t>
      </w:r>
      <w:r w:rsidRPr="00123A4F">
        <w:rPr>
          <w:rFonts w:ascii="Times New Roman" w:hAnsi="Times New Roman" w:cs="Times New Roman"/>
        </w:rPr>
        <w:t xml:space="preserve">principi ‘strutturali’ che </w:t>
      </w:r>
      <w:r w:rsidR="0079306F" w:rsidRPr="00123A4F">
        <w:rPr>
          <w:rFonts w:ascii="Times New Roman" w:hAnsi="Times New Roman" w:cs="Times New Roman"/>
        </w:rPr>
        <w:t xml:space="preserve">definiscono il </w:t>
      </w:r>
      <w:r w:rsidRPr="00123A4F">
        <w:rPr>
          <w:rFonts w:ascii="Times New Roman" w:hAnsi="Times New Roman" w:cs="Times New Roman"/>
        </w:rPr>
        <w:t xml:space="preserve">nocciolo duro dell’identità costituzionale tedesca. </w:t>
      </w:r>
      <w:r w:rsidR="009140D0" w:rsidRPr="00123A4F">
        <w:rPr>
          <w:rFonts w:ascii="Times New Roman" w:hAnsi="Times New Roman" w:cs="Times New Roman"/>
        </w:rPr>
        <w:t>Fra i numerosissimi commenti,</w:t>
      </w:r>
      <w:r w:rsidR="0044223D" w:rsidRPr="00123A4F">
        <w:rPr>
          <w:rFonts w:ascii="Times New Roman" w:hAnsi="Times New Roman" w:cs="Times New Roman"/>
        </w:rPr>
        <w:t xml:space="preserve"> si vedano almeno</w:t>
      </w:r>
      <w:r w:rsidRPr="00123A4F">
        <w:rPr>
          <w:rFonts w:ascii="Times New Roman" w:hAnsi="Times New Roman" w:cs="Times New Roman"/>
        </w:rPr>
        <w:t xml:space="preserve">: </w:t>
      </w:r>
      <w:r w:rsidRPr="00123A4F">
        <w:rPr>
          <w:rFonts w:ascii="Times New Roman" w:hAnsi="Times New Roman" w:cs="Times New Roman"/>
          <w:smallCaps/>
        </w:rPr>
        <w:t>M. Nettesheim</w:t>
      </w:r>
      <w:r w:rsidRPr="00123A4F">
        <w:rPr>
          <w:rFonts w:ascii="Times New Roman" w:hAnsi="Times New Roman" w:cs="Times New Roman"/>
        </w:rPr>
        <w:t xml:space="preserve">, </w:t>
      </w:r>
      <w:r w:rsidRPr="00123A4F">
        <w:rPr>
          <w:rFonts w:ascii="Times New Roman" w:hAnsi="Times New Roman" w:cs="Times New Roman"/>
          <w:i/>
        </w:rPr>
        <w:t xml:space="preserve">Ein </w:t>
      </w:r>
      <w:proofErr w:type="spellStart"/>
      <w:r w:rsidRPr="00123A4F">
        <w:rPr>
          <w:rFonts w:ascii="Times New Roman" w:hAnsi="Times New Roman" w:cs="Times New Roman"/>
          <w:i/>
        </w:rPr>
        <w:t>Individualrecht</w:t>
      </w:r>
      <w:proofErr w:type="spellEnd"/>
      <w:r w:rsidRPr="00123A4F">
        <w:rPr>
          <w:rFonts w:ascii="Times New Roman" w:hAnsi="Times New Roman" w:cs="Times New Roman"/>
          <w:i/>
        </w:rPr>
        <w:t xml:space="preserve"> </w:t>
      </w:r>
      <w:proofErr w:type="spellStart"/>
      <w:r w:rsidRPr="00123A4F">
        <w:rPr>
          <w:rFonts w:ascii="Times New Roman" w:hAnsi="Times New Roman" w:cs="Times New Roman"/>
          <w:i/>
        </w:rPr>
        <w:t>auf</w:t>
      </w:r>
      <w:proofErr w:type="spellEnd"/>
      <w:r w:rsidRPr="00123A4F">
        <w:rPr>
          <w:rFonts w:ascii="Times New Roman" w:hAnsi="Times New Roman" w:cs="Times New Roman"/>
          <w:i/>
        </w:rPr>
        <w:t xml:space="preserve"> </w:t>
      </w:r>
      <w:proofErr w:type="spellStart"/>
      <w:r w:rsidRPr="00123A4F">
        <w:rPr>
          <w:rFonts w:ascii="Times New Roman" w:hAnsi="Times New Roman" w:cs="Times New Roman"/>
          <w:i/>
        </w:rPr>
        <w:t>Staatlichkeit</w:t>
      </w:r>
      <w:proofErr w:type="spellEnd"/>
      <w:r w:rsidRPr="00123A4F">
        <w:rPr>
          <w:rFonts w:ascii="Times New Roman" w:hAnsi="Times New Roman" w:cs="Times New Roman"/>
          <w:i/>
        </w:rPr>
        <w:t xml:space="preserve">? </w:t>
      </w:r>
      <w:r w:rsidRPr="00123A4F">
        <w:rPr>
          <w:rFonts w:ascii="Times New Roman" w:hAnsi="Times New Roman" w:cs="Times New Roman"/>
          <w:i/>
          <w:lang w:val="en-US"/>
        </w:rPr>
        <w:t xml:space="preserve">Die </w:t>
      </w:r>
      <w:proofErr w:type="spellStart"/>
      <w:r w:rsidRPr="00123A4F">
        <w:rPr>
          <w:rFonts w:ascii="Times New Roman" w:hAnsi="Times New Roman" w:cs="Times New Roman"/>
          <w:i/>
          <w:lang w:val="en-US"/>
        </w:rPr>
        <w:t>Lissabon-Entscheidung</w:t>
      </w:r>
      <w:proofErr w:type="spellEnd"/>
      <w:r w:rsidRPr="00123A4F">
        <w:rPr>
          <w:rFonts w:ascii="Times New Roman" w:hAnsi="Times New Roman" w:cs="Times New Roman"/>
          <w:i/>
          <w:lang w:val="en-US"/>
        </w:rPr>
        <w:t xml:space="preserve"> des </w:t>
      </w:r>
      <w:proofErr w:type="spellStart"/>
      <w:r w:rsidRPr="00123A4F">
        <w:rPr>
          <w:rFonts w:ascii="Times New Roman" w:hAnsi="Times New Roman" w:cs="Times New Roman"/>
          <w:i/>
          <w:lang w:val="en-US"/>
        </w:rPr>
        <w:t>BVerfG</w:t>
      </w:r>
      <w:proofErr w:type="spellEnd"/>
      <w:r w:rsidRPr="00123A4F">
        <w:rPr>
          <w:rFonts w:ascii="Times New Roman" w:hAnsi="Times New Roman" w:cs="Times New Roman"/>
          <w:lang w:val="en-US"/>
        </w:rPr>
        <w:t xml:space="preserve">, in </w:t>
      </w:r>
      <w:r w:rsidRPr="00123A4F">
        <w:rPr>
          <w:rFonts w:ascii="Times New Roman" w:hAnsi="Times New Roman" w:cs="Times New Roman"/>
          <w:i/>
          <w:lang w:val="en-US"/>
        </w:rPr>
        <w:t>NJW</w:t>
      </w:r>
      <w:r w:rsidRPr="00123A4F">
        <w:rPr>
          <w:rFonts w:ascii="Times New Roman" w:hAnsi="Times New Roman" w:cs="Times New Roman"/>
          <w:lang w:val="en-US"/>
        </w:rPr>
        <w:t xml:space="preserve">, 2009, </w:t>
      </w:r>
      <w:r w:rsidR="000E39B0" w:rsidRPr="00123A4F">
        <w:rPr>
          <w:rFonts w:ascii="Times New Roman" w:hAnsi="Times New Roman" w:cs="Times New Roman"/>
          <w:lang w:val="en-US"/>
        </w:rPr>
        <w:t>p.</w:t>
      </w:r>
      <w:r w:rsidR="00F43692" w:rsidRPr="00123A4F">
        <w:rPr>
          <w:rFonts w:ascii="Times New Roman" w:hAnsi="Times New Roman" w:cs="Times New Roman"/>
          <w:lang w:val="en-US"/>
        </w:rPr>
        <w:t xml:space="preserve"> </w:t>
      </w:r>
      <w:r w:rsidRPr="00123A4F">
        <w:rPr>
          <w:rFonts w:ascii="Times New Roman" w:hAnsi="Times New Roman" w:cs="Times New Roman"/>
          <w:lang w:val="en-US"/>
        </w:rPr>
        <w:t xml:space="preserve">2867 </w:t>
      </w:r>
      <w:proofErr w:type="gramStart"/>
      <w:r w:rsidRPr="00123A4F">
        <w:rPr>
          <w:rFonts w:ascii="Times New Roman" w:hAnsi="Times New Roman" w:cs="Times New Roman"/>
          <w:lang w:val="en-US"/>
        </w:rPr>
        <w:t>ss.;</w:t>
      </w:r>
      <w:proofErr w:type="gramEnd"/>
      <w:r w:rsidRPr="00123A4F">
        <w:rPr>
          <w:rFonts w:ascii="Times New Roman" w:hAnsi="Times New Roman" w:cs="Times New Roman"/>
          <w:lang w:val="en-US"/>
        </w:rPr>
        <w:t xml:space="preserve"> </w:t>
      </w:r>
      <w:r w:rsidRPr="00123A4F">
        <w:rPr>
          <w:rFonts w:ascii="Times New Roman" w:hAnsi="Times New Roman" w:cs="Times New Roman"/>
          <w:smallCaps/>
          <w:lang w:val="en-US"/>
        </w:rPr>
        <w:t>D. Grimm.</w:t>
      </w:r>
      <w:r w:rsidRPr="00123A4F">
        <w:rPr>
          <w:rFonts w:ascii="Times New Roman" w:hAnsi="Times New Roman" w:cs="Times New Roman"/>
          <w:lang w:val="en-US"/>
        </w:rPr>
        <w:t xml:space="preserve"> </w:t>
      </w:r>
      <w:r w:rsidRPr="00123A4F">
        <w:rPr>
          <w:rFonts w:ascii="Times New Roman" w:hAnsi="Times New Roman" w:cs="Times New Roman"/>
          <w:i/>
          <w:lang w:val="en-US"/>
        </w:rPr>
        <w:t>Defending Sovereign Statehood against Transforming the Union into a State</w:t>
      </w:r>
      <w:r w:rsidRPr="00123A4F">
        <w:rPr>
          <w:rFonts w:ascii="Times New Roman" w:hAnsi="Times New Roman" w:cs="Times New Roman"/>
          <w:lang w:val="en-US"/>
        </w:rPr>
        <w:t xml:space="preserve">, in </w:t>
      </w:r>
      <w:r w:rsidRPr="00123A4F">
        <w:rPr>
          <w:rFonts w:ascii="Times New Roman" w:hAnsi="Times New Roman" w:cs="Times New Roman"/>
          <w:i/>
          <w:lang w:val="en-US"/>
        </w:rPr>
        <w:t>European Constitutional Law Review</w:t>
      </w:r>
      <w:r w:rsidRPr="00123A4F">
        <w:rPr>
          <w:rFonts w:ascii="Times New Roman" w:hAnsi="Times New Roman" w:cs="Times New Roman"/>
          <w:lang w:val="en-US"/>
        </w:rPr>
        <w:t xml:space="preserve">, n. 5/2009, </w:t>
      </w:r>
      <w:r w:rsidR="000E39B0" w:rsidRPr="00123A4F">
        <w:rPr>
          <w:rFonts w:ascii="Times New Roman" w:hAnsi="Times New Roman" w:cs="Times New Roman"/>
          <w:lang w:val="en-US"/>
        </w:rPr>
        <w:t xml:space="preserve">p. </w:t>
      </w:r>
      <w:r w:rsidRPr="00123A4F">
        <w:rPr>
          <w:rFonts w:ascii="Times New Roman" w:hAnsi="Times New Roman" w:cs="Times New Roman"/>
          <w:lang w:val="en-US"/>
        </w:rPr>
        <w:t>353</w:t>
      </w:r>
      <w:r w:rsidR="009140D0" w:rsidRPr="00123A4F">
        <w:rPr>
          <w:rFonts w:ascii="Times New Roman" w:hAnsi="Times New Roman" w:cs="Times New Roman"/>
          <w:lang w:val="en-US"/>
        </w:rPr>
        <w:t xml:space="preserve"> ss.</w:t>
      </w:r>
      <w:r w:rsidRPr="00123A4F">
        <w:rPr>
          <w:rFonts w:ascii="Times New Roman" w:hAnsi="Times New Roman" w:cs="Times New Roman"/>
          <w:lang w:val="en-US"/>
        </w:rPr>
        <w:t xml:space="preserve">; </w:t>
      </w:r>
      <w:r w:rsidRPr="00123A4F">
        <w:rPr>
          <w:rFonts w:ascii="Times New Roman" w:hAnsi="Times New Roman" w:cs="Times New Roman"/>
          <w:smallCaps/>
          <w:lang w:val="en-US"/>
        </w:rPr>
        <w:t>J. Ziller</w:t>
      </w:r>
      <w:r w:rsidRPr="00123A4F">
        <w:rPr>
          <w:rFonts w:ascii="Times New Roman" w:hAnsi="Times New Roman" w:cs="Times New Roman"/>
          <w:lang w:val="en-US"/>
        </w:rPr>
        <w:t xml:space="preserve">, </w:t>
      </w:r>
      <w:r w:rsidRPr="00123A4F">
        <w:rPr>
          <w:rFonts w:ascii="Times New Roman" w:hAnsi="Times New Roman" w:cs="Times New Roman"/>
          <w:i/>
          <w:lang w:val="en-US"/>
        </w:rPr>
        <w:t xml:space="preserve">The German Constitutional Court’s friendliness towards European law: on the judgment of </w:t>
      </w:r>
      <w:proofErr w:type="spellStart"/>
      <w:r w:rsidRPr="00123A4F">
        <w:rPr>
          <w:rFonts w:ascii="Times New Roman" w:hAnsi="Times New Roman" w:cs="Times New Roman"/>
          <w:i/>
          <w:lang w:val="en-US"/>
        </w:rPr>
        <w:t>Bundesverfassungsgericht</w:t>
      </w:r>
      <w:proofErr w:type="spellEnd"/>
      <w:r w:rsidRPr="00123A4F">
        <w:rPr>
          <w:rFonts w:ascii="Times New Roman" w:hAnsi="Times New Roman" w:cs="Times New Roman"/>
          <w:i/>
          <w:lang w:val="en-US"/>
        </w:rPr>
        <w:t xml:space="preserve"> over the ratification of the Treaty of Lisbon</w:t>
      </w:r>
      <w:r w:rsidRPr="00123A4F">
        <w:rPr>
          <w:rFonts w:ascii="Times New Roman" w:hAnsi="Times New Roman" w:cs="Times New Roman"/>
          <w:lang w:val="en-US"/>
        </w:rPr>
        <w:t xml:space="preserve">, in </w:t>
      </w:r>
      <w:r w:rsidRPr="00123A4F">
        <w:rPr>
          <w:rFonts w:ascii="Times New Roman" w:hAnsi="Times New Roman" w:cs="Times New Roman"/>
          <w:i/>
          <w:lang w:val="en-US"/>
        </w:rPr>
        <w:t>European Public Law</w:t>
      </w:r>
      <w:r w:rsidRPr="00123A4F">
        <w:rPr>
          <w:rFonts w:ascii="Times New Roman" w:hAnsi="Times New Roman" w:cs="Times New Roman"/>
          <w:lang w:val="en-US"/>
        </w:rPr>
        <w:t xml:space="preserve">, 2009, Vol. 16, No. 1, </w:t>
      </w:r>
      <w:r w:rsidR="000E39B0" w:rsidRPr="00123A4F">
        <w:rPr>
          <w:rFonts w:ascii="Times New Roman" w:hAnsi="Times New Roman" w:cs="Times New Roman"/>
          <w:lang w:val="en-US"/>
        </w:rPr>
        <w:t xml:space="preserve">pp. </w:t>
      </w:r>
      <w:r w:rsidRPr="00123A4F">
        <w:rPr>
          <w:rFonts w:ascii="Times New Roman" w:hAnsi="Times New Roman" w:cs="Times New Roman"/>
          <w:lang w:val="en-US"/>
        </w:rPr>
        <w:t xml:space="preserve">53–73; </w:t>
      </w:r>
      <w:r w:rsidRPr="00123A4F">
        <w:rPr>
          <w:rFonts w:ascii="Times New Roman" w:hAnsi="Times New Roman" w:cs="Times New Roman"/>
          <w:smallCaps/>
          <w:lang w:val="en-US"/>
        </w:rPr>
        <w:t>Id.</w:t>
      </w:r>
      <w:r w:rsidRPr="00123A4F">
        <w:rPr>
          <w:rFonts w:ascii="Times New Roman" w:hAnsi="Times New Roman" w:cs="Times New Roman"/>
          <w:lang w:val="en-US"/>
        </w:rPr>
        <w:t xml:space="preserve">, </w:t>
      </w:r>
      <w:r w:rsidRPr="00123A4F">
        <w:rPr>
          <w:rFonts w:ascii="Times New Roman" w:hAnsi="Times New Roman" w:cs="Times New Roman"/>
          <w:i/>
          <w:lang w:val="en-US"/>
        </w:rPr>
        <w:t xml:space="preserve">Solange III, </w:t>
      </w:r>
      <w:proofErr w:type="spellStart"/>
      <w:r w:rsidRPr="00123A4F">
        <w:rPr>
          <w:rFonts w:ascii="Times New Roman" w:hAnsi="Times New Roman" w:cs="Times New Roman"/>
          <w:i/>
          <w:lang w:val="en-US"/>
        </w:rPr>
        <w:t>ovvero</w:t>
      </w:r>
      <w:proofErr w:type="spellEnd"/>
      <w:r w:rsidRPr="00123A4F">
        <w:rPr>
          <w:rFonts w:ascii="Times New Roman" w:hAnsi="Times New Roman" w:cs="Times New Roman"/>
          <w:i/>
          <w:lang w:val="en-US"/>
        </w:rPr>
        <w:t xml:space="preserve"> la </w:t>
      </w:r>
      <w:proofErr w:type="spellStart"/>
      <w:r w:rsidRPr="00123A4F">
        <w:rPr>
          <w:rFonts w:ascii="Times New Roman" w:hAnsi="Times New Roman" w:cs="Times New Roman"/>
          <w:i/>
          <w:lang w:val="en-US"/>
        </w:rPr>
        <w:t>Europafreundlichkeit</w:t>
      </w:r>
      <w:proofErr w:type="spellEnd"/>
      <w:r w:rsidRPr="00123A4F">
        <w:rPr>
          <w:rFonts w:ascii="Times New Roman" w:hAnsi="Times New Roman" w:cs="Times New Roman"/>
          <w:i/>
          <w:lang w:val="en-US"/>
        </w:rPr>
        <w:t xml:space="preserve"> del </w:t>
      </w:r>
      <w:proofErr w:type="spellStart"/>
      <w:r w:rsidRPr="00123A4F">
        <w:rPr>
          <w:rFonts w:ascii="Times New Roman" w:hAnsi="Times New Roman" w:cs="Times New Roman"/>
          <w:i/>
          <w:lang w:val="en-US"/>
        </w:rPr>
        <w:t>Bundesverfassungsgericht</w:t>
      </w:r>
      <w:proofErr w:type="spellEnd"/>
      <w:r w:rsidRPr="00123A4F">
        <w:rPr>
          <w:rFonts w:ascii="Times New Roman" w:hAnsi="Times New Roman" w:cs="Times New Roman"/>
          <w:i/>
          <w:lang w:val="en-US"/>
        </w:rPr>
        <w:t xml:space="preserve">. </w:t>
      </w:r>
      <w:r w:rsidRPr="00123A4F">
        <w:rPr>
          <w:rFonts w:ascii="Times New Roman" w:hAnsi="Times New Roman" w:cs="Times New Roman"/>
          <w:i/>
        </w:rPr>
        <w:t xml:space="preserve">A proposito della sentenza della Corte federale </w:t>
      </w:r>
      <w:r w:rsidR="00EE70C1" w:rsidRPr="00123A4F">
        <w:rPr>
          <w:rFonts w:ascii="Times New Roman" w:hAnsi="Times New Roman" w:cs="Times New Roman"/>
          <w:i/>
        </w:rPr>
        <w:t>t</w:t>
      </w:r>
      <w:r w:rsidRPr="00123A4F">
        <w:rPr>
          <w:rFonts w:ascii="Times New Roman" w:hAnsi="Times New Roman" w:cs="Times New Roman"/>
          <w:i/>
        </w:rPr>
        <w:t>edesca sulla ratifica del Trattato di Lisbona</w:t>
      </w:r>
      <w:r w:rsidRPr="00123A4F">
        <w:rPr>
          <w:rFonts w:ascii="Times New Roman" w:hAnsi="Times New Roman" w:cs="Times New Roman"/>
        </w:rPr>
        <w:t xml:space="preserve">, in </w:t>
      </w:r>
      <w:r w:rsidRPr="00123A4F">
        <w:rPr>
          <w:rFonts w:ascii="Times New Roman" w:hAnsi="Times New Roman" w:cs="Times New Roman"/>
          <w:i/>
        </w:rPr>
        <w:t xml:space="preserve">Riv. Dir. Pubbl. </w:t>
      </w:r>
      <w:proofErr w:type="spellStart"/>
      <w:r w:rsidRPr="00123A4F">
        <w:rPr>
          <w:rFonts w:ascii="Times New Roman" w:hAnsi="Times New Roman" w:cs="Times New Roman"/>
          <w:i/>
        </w:rPr>
        <w:t>Com</w:t>
      </w:r>
      <w:proofErr w:type="spellEnd"/>
      <w:r w:rsidRPr="00123A4F">
        <w:rPr>
          <w:rFonts w:ascii="Times New Roman" w:hAnsi="Times New Roman" w:cs="Times New Roman"/>
          <w:i/>
        </w:rPr>
        <w:t>.,</w:t>
      </w:r>
      <w:r w:rsidRPr="00123A4F">
        <w:rPr>
          <w:rFonts w:ascii="Times New Roman" w:hAnsi="Times New Roman" w:cs="Times New Roman"/>
        </w:rPr>
        <w:t xml:space="preserve"> 2009, </w:t>
      </w:r>
      <w:r w:rsidR="000E39B0" w:rsidRPr="00123A4F">
        <w:rPr>
          <w:rFonts w:ascii="Times New Roman" w:hAnsi="Times New Roman" w:cs="Times New Roman"/>
        </w:rPr>
        <w:t xml:space="preserve">pp. </w:t>
      </w:r>
      <w:r w:rsidRPr="00123A4F">
        <w:rPr>
          <w:rFonts w:ascii="Times New Roman" w:hAnsi="Times New Roman" w:cs="Times New Roman"/>
        </w:rPr>
        <w:t xml:space="preserve">973-995; </w:t>
      </w:r>
      <w:r w:rsidRPr="00123A4F">
        <w:rPr>
          <w:rFonts w:ascii="Times New Roman" w:hAnsi="Times New Roman" w:cs="Times New Roman"/>
          <w:smallCaps/>
        </w:rPr>
        <w:t>C. Pinelli</w:t>
      </w:r>
      <w:r w:rsidRPr="00123A4F">
        <w:rPr>
          <w:rFonts w:ascii="Times New Roman" w:hAnsi="Times New Roman" w:cs="Times New Roman"/>
        </w:rPr>
        <w:t xml:space="preserve">, </w:t>
      </w:r>
      <w:r w:rsidRPr="00123A4F">
        <w:rPr>
          <w:rFonts w:ascii="Times New Roman" w:hAnsi="Times New Roman" w:cs="Times New Roman"/>
          <w:i/>
        </w:rPr>
        <w:t>Forzature e silenzi del Tribunale costituzionale tedesco sul Trattato di Lisbona</w:t>
      </w:r>
      <w:r w:rsidRPr="00123A4F">
        <w:rPr>
          <w:rFonts w:ascii="Times New Roman" w:hAnsi="Times New Roman" w:cs="Times New Roman"/>
        </w:rPr>
        <w:t xml:space="preserve">, in </w:t>
      </w:r>
      <w:r w:rsidRPr="00123A4F">
        <w:rPr>
          <w:rFonts w:ascii="Times New Roman" w:hAnsi="Times New Roman" w:cs="Times New Roman"/>
          <w:i/>
        </w:rPr>
        <w:t>Giur</w:t>
      </w:r>
      <w:r w:rsidR="00E47106" w:rsidRPr="00123A4F">
        <w:rPr>
          <w:rFonts w:ascii="Times New Roman" w:hAnsi="Times New Roman" w:cs="Times New Roman"/>
          <w:i/>
        </w:rPr>
        <w:t>isprudenza</w:t>
      </w:r>
      <w:r w:rsidRPr="00123A4F">
        <w:rPr>
          <w:rFonts w:ascii="Times New Roman" w:hAnsi="Times New Roman" w:cs="Times New Roman"/>
          <w:i/>
        </w:rPr>
        <w:t xml:space="preserve"> cost</w:t>
      </w:r>
      <w:r w:rsidR="00E47106" w:rsidRPr="00123A4F">
        <w:rPr>
          <w:rFonts w:ascii="Times New Roman" w:hAnsi="Times New Roman" w:cs="Times New Roman"/>
          <w:i/>
        </w:rPr>
        <w:t>ituzionale</w:t>
      </w:r>
      <w:r w:rsidRPr="00123A4F">
        <w:rPr>
          <w:rFonts w:ascii="Times New Roman" w:hAnsi="Times New Roman" w:cs="Times New Roman"/>
        </w:rPr>
        <w:t xml:space="preserve">, 2009, </w:t>
      </w:r>
      <w:r w:rsidR="000E39B0" w:rsidRPr="00123A4F">
        <w:rPr>
          <w:rFonts w:ascii="Times New Roman" w:hAnsi="Times New Roman" w:cs="Times New Roman"/>
        </w:rPr>
        <w:t xml:space="preserve">p. </w:t>
      </w:r>
      <w:r w:rsidRPr="00123A4F">
        <w:rPr>
          <w:rFonts w:ascii="Times New Roman" w:hAnsi="Times New Roman" w:cs="Times New Roman"/>
        </w:rPr>
        <w:t>5153 ss.</w:t>
      </w:r>
    </w:p>
  </w:footnote>
  <w:footnote w:id="17">
    <w:p w14:paraId="75A1463D" w14:textId="173EA5E8" w:rsidR="000E39B0" w:rsidRPr="00123A4F" w:rsidRDefault="000E39B0"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8124B9" w:rsidRPr="00123A4F">
        <w:rPr>
          <w:rFonts w:ascii="Times New Roman" w:hAnsi="Times New Roman" w:cs="Times New Roman"/>
        </w:rPr>
        <w:t>C</w:t>
      </w:r>
      <w:r w:rsidRPr="00123A4F">
        <w:rPr>
          <w:rFonts w:ascii="Times New Roman" w:hAnsi="Times New Roman" w:cs="Times New Roman"/>
        </w:rPr>
        <w:t xml:space="preserve">ome acutamente rilevato </w:t>
      </w:r>
      <w:r w:rsidR="00BC591B" w:rsidRPr="00123A4F">
        <w:rPr>
          <w:rFonts w:ascii="Times New Roman" w:hAnsi="Times New Roman" w:cs="Times New Roman"/>
        </w:rPr>
        <w:t xml:space="preserve">da </w:t>
      </w:r>
      <w:r w:rsidR="00BC591B" w:rsidRPr="00123A4F">
        <w:rPr>
          <w:rFonts w:ascii="Times New Roman" w:hAnsi="Times New Roman" w:cs="Times New Roman"/>
          <w:smallCaps/>
        </w:rPr>
        <w:t>D. Gallo</w:t>
      </w:r>
      <w:r w:rsidR="00BC591B" w:rsidRPr="00123A4F">
        <w:rPr>
          <w:rFonts w:ascii="Times New Roman" w:hAnsi="Times New Roman" w:cs="Times New Roman"/>
        </w:rPr>
        <w:t xml:space="preserve">, </w:t>
      </w:r>
      <w:r w:rsidR="00BC591B" w:rsidRPr="00123A4F">
        <w:rPr>
          <w:rFonts w:ascii="Times New Roman" w:hAnsi="Times New Roman" w:cs="Times New Roman"/>
          <w:i/>
          <w:iCs/>
        </w:rPr>
        <w:t xml:space="preserve">Superamento di </w:t>
      </w:r>
      <w:proofErr w:type="spellStart"/>
      <w:r w:rsidR="00BC591B" w:rsidRPr="00123A4F">
        <w:rPr>
          <w:rFonts w:ascii="Times New Roman" w:hAnsi="Times New Roman" w:cs="Times New Roman"/>
          <w:i/>
          <w:iCs/>
        </w:rPr>
        <w:t>Granital</w:t>
      </w:r>
      <w:proofErr w:type="spellEnd"/>
      <w:r w:rsidR="00BC591B" w:rsidRPr="00123A4F">
        <w:rPr>
          <w:rFonts w:ascii="Times New Roman" w:hAnsi="Times New Roman" w:cs="Times New Roman"/>
          <w:i/>
          <w:iCs/>
        </w:rPr>
        <w:t xml:space="preserve"> e conformità al diritto dell’Unione europea: per una ridefinizione del tono costituzionale</w:t>
      </w:r>
      <w:r w:rsidR="00BC591B" w:rsidRPr="00123A4F">
        <w:rPr>
          <w:rFonts w:ascii="Times New Roman" w:hAnsi="Times New Roman" w:cs="Times New Roman"/>
        </w:rPr>
        <w:t xml:space="preserve">, in </w:t>
      </w:r>
      <w:r w:rsidR="00BC591B" w:rsidRPr="00123A4F">
        <w:rPr>
          <w:rFonts w:ascii="Times New Roman" w:hAnsi="Times New Roman" w:cs="Times New Roman"/>
          <w:i/>
          <w:iCs/>
        </w:rPr>
        <w:t>Giur. cost.</w:t>
      </w:r>
      <w:r w:rsidR="00BC591B" w:rsidRPr="00123A4F">
        <w:rPr>
          <w:rFonts w:ascii="Times New Roman" w:hAnsi="Times New Roman" w:cs="Times New Roman"/>
        </w:rPr>
        <w:t>, 2025, 1, pp. 187-188</w:t>
      </w:r>
      <w:r w:rsidRPr="00123A4F">
        <w:rPr>
          <w:rFonts w:ascii="Times New Roman" w:hAnsi="Times New Roman" w:cs="Times New Roman"/>
        </w:rPr>
        <w:t xml:space="preserve">, la sentenza </w:t>
      </w:r>
      <w:proofErr w:type="spellStart"/>
      <w:r w:rsidRPr="00123A4F">
        <w:rPr>
          <w:rFonts w:ascii="Times New Roman" w:hAnsi="Times New Roman" w:cs="Times New Roman"/>
          <w:i/>
          <w:iCs/>
        </w:rPr>
        <w:t>Granital</w:t>
      </w:r>
      <w:proofErr w:type="spellEnd"/>
      <w:r w:rsidRPr="00123A4F">
        <w:rPr>
          <w:rFonts w:ascii="Times New Roman" w:hAnsi="Times New Roman" w:cs="Times New Roman"/>
          <w:i/>
          <w:iCs/>
        </w:rPr>
        <w:t xml:space="preserve"> </w:t>
      </w:r>
      <w:r w:rsidRPr="00123A4F">
        <w:rPr>
          <w:rFonts w:ascii="Times New Roman" w:hAnsi="Times New Roman" w:cs="Times New Roman"/>
        </w:rPr>
        <w:t xml:space="preserve">si è rivelata </w:t>
      </w:r>
      <w:r w:rsidR="00EE70C1" w:rsidRPr="00123A4F">
        <w:rPr>
          <w:rFonts w:ascii="Times New Roman" w:hAnsi="Times New Roman" w:cs="Times New Roman"/>
        </w:rPr>
        <w:t xml:space="preserve">addirittura più </w:t>
      </w:r>
      <w:r w:rsidRPr="00123A4F">
        <w:rPr>
          <w:rFonts w:ascii="Times New Roman" w:hAnsi="Times New Roman" w:cs="Times New Roman"/>
        </w:rPr>
        <w:t xml:space="preserve">‘comunitarista’ della pronuncia </w:t>
      </w:r>
      <w:r w:rsidRPr="00123A4F">
        <w:rPr>
          <w:rFonts w:ascii="Times New Roman" w:hAnsi="Times New Roman" w:cs="Times New Roman"/>
          <w:i/>
          <w:iCs/>
        </w:rPr>
        <w:t>Simmenthal</w:t>
      </w:r>
      <w:r w:rsidRPr="00123A4F">
        <w:rPr>
          <w:rFonts w:ascii="Times New Roman" w:hAnsi="Times New Roman" w:cs="Times New Roman"/>
        </w:rPr>
        <w:t xml:space="preserve">, </w:t>
      </w:r>
      <w:r w:rsidR="00EE70C1" w:rsidRPr="00123A4F">
        <w:rPr>
          <w:rFonts w:ascii="Times New Roman" w:hAnsi="Times New Roman" w:cs="Times New Roman"/>
        </w:rPr>
        <w:t xml:space="preserve">giungendo </w:t>
      </w:r>
      <w:r w:rsidRPr="00123A4F">
        <w:rPr>
          <w:rFonts w:ascii="Times New Roman" w:hAnsi="Times New Roman" w:cs="Times New Roman"/>
        </w:rPr>
        <w:t xml:space="preserve">a precludere </w:t>
      </w:r>
      <w:r w:rsidR="00EE70C1" w:rsidRPr="00123A4F">
        <w:rPr>
          <w:rFonts w:ascii="Times New Roman" w:hAnsi="Times New Roman" w:cs="Times New Roman"/>
        </w:rPr>
        <w:t xml:space="preserve">– ciò che Simmenthal non richiedeva – </w:t>
      </w:r>
      <w:r w:rsidRPr="00123A4F">
        <w:rPr>
          <w:rFonts w:ascii="Times New Roman" w:hAnsi="Times New Roman" w:cs="Times New Roman"/>
        </w:rPr>
        <w:t>l’accesso all’incidente di costituzionalità.</w:t>
      </w:r>
    </w:p>
  </w:footnote>
  <w:footnote w:id="18">
    <w:p w14:paraId="05B418CB" w14:textId="77777777"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In questi termini </w:t>
      </w:r>
      <w:r w:rsidRPr="00123A4F">
        <w:rPr>
          <w:rFonts w:ascii="Times New Roman" w:hAnsi="Times New Roman" w:cs="Times New Roman"/>
          <w:smallCaps/>
        </w:rPr>
        <w:t>A. Chiappetta</w:t>
      </w:r>
      <w:r w:rsidRPr="00123A4F">
        <w:rPr>
          <w:rFonts w:ascii="Times New Roman" w:hAnsi="Times New Roman" w:cs="Times New Roman"/>
        </w:rPr>
        <w:t xml:space="preserve">, </w:t>
      </w:r>
      <w:r w:rsidRPr="00123A4F">
        <w:rPr>
          <w:rFonts w:ascii="Times New Roman" w:hAnsi="Times New Roman" w:cs="Times New Roman"/>
          <w:i/>
          <w:iCs/>
        </w:rPr>
        <w:t>Sindacato accentrato e diritto dell’Unione europea: prospettive di interdipendenza costituzionale</w:t>
      </w:r>
      <w:r w:rsidRPr="00123A4F">
        <w:rPr>
          <w:rFonts w:ascii="Times New Roman" w:hAnsi="Times New Roman" w:cs="Times New Roman"/>
        </w:rPr>
        <w:t>, Napoli, 2025, pp. 149-150. Per l’A. «riesce difficile giustificare il cortocircuito per cui i principi costituzionali supremi possono vigilare sugli atti dell’Unione per il tramite delle leggi di attuazione, mentre le norme unionali costruite sul calco di quei principi supremi spodestano gli stessi nella verifica del corpus normativo statale».</w:t>
      </w:r>
    </w:p>
  </w:footnote>
  <w:footnote w:id="19">
    <w:p w14:paraId="6927DAE4" w14:textId="094F78B5"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Nell’anno 2024</w:t>
      </w:r>
      <w:r w:rsidR="00E47106" w:rsidRPr="00123A4F">
        <w:rPr>
          <w:rFonts w:ascii="Times New Roman" w:hAnsi="Times New Roman" w:cs="Times New Roman"/>
        </w:rPr>
        <w:t xml:space="preserve">, secondo i dati risultanti da </w:t>
      </w:r>
      <w:r w:rsidR="005E3B01" w:rsidRPr="00123A4F">
        <w:rPr>
          <w:rFonts w:ascii="Times New Roman" w:hAnsi="Times New Roman" w:cs="Times New Roman"/>
        </w:rPr>
        <w:t xml:space="preserve">CGUE, </w:t>
      </w:r>
      <w:r w:rsidR="005E3B01" w:rsidRPr="00123A4F">
        <w:rPr>
          <w:rFonts w:ascii="Times New Roman" w:hAnsi="Times New Roman" w:cs="Times New Roman"/>
          <w:i/>
          <w:iCs/>
        </w:rPr>
        <w:t>Relazione annuale 2024, Statistiche giudiziarie della Corte di giustizia</w:t>
      </w:r>
      <w:r w:rsidR="005E3B01" w:rsidRPr="00123A4F">
        <w:rPr>
          <w:rFonts w:ascii="Times New Roman" w:hAnsi="Times New Roman" w:cs="Times New Roman"/>
        </w:rPr>
        <w:t xml:space="preserve">, in </w:t>
      </w:r>
      <w:hyperlink r:id="rId1" w:history="1">
        <w:r w:rsidR="005E3B01" w:rsidRPr="00123A4F">
          <w:rPr>
            <w:rStyle w:val="Collegamentoipertestuale"/>
            <w:rFonts w:ascii="Times New Roman" w:hAnsi="Times New Roman" w:cs="Times New Roman"/>
            <w:color w:val="auto"/>
          </w:rPr>
          <w:t>https://curia.europa.eu/site/upload/docs/application/pdf/2025-09/ra_it_statistiques_24_-b_statistiques-cour.pdf</w:t>
        </w:r>
      </w:hyperlink>
      <w:r w:rsidR="005E3B01" w:rsidRPr="00123A4F">
        <w:rPr>
          <w:rFonts w:ascii="Times New Roman" w:hAnsi="Times New Roman" w:cs="Times New Roman"/>
        </w:rPr>
        <w:t xml:space="preserve">, </w:t>
      </w:r>
      <w:r w:rsidRPr="00123A4F">
        <w:rPr>
          <w:rFonts w:ascii="Times New Roman" w:hAnsi="Times New Roman" w:cs="Times New Roman"/>
        </w:rPr>
        <w:t>il numero dei rinvii degli organi giudicanti italiani (</w:t>
      </w:r>
      <w:r w:rsidR="00885B60" w:rsidRPr="00123A4F">
        <w:rPr>
          <w:rFonts w:ascii="Times New Roman" w:hAnsi="Times New Roman" w:cs="Times New Roman"/>
        </w:rPr>
        <w:t>98</w:t>
      </w:r>
      <w:r w:rsidRPr="00123A4F">
        <w:rPr>
          <w:rFonts w:ascii="Times New Roman" w:hAnsi="Times New Roman" w:cs="Times New Roman"/>
        </w:rPr>
        <w:t>) ha più che raddoppiato quello del 2023</w:t>
      </w:r>
      <w:r w:rsidR="005E3B01" w:rsidRPr="00123A4F">
        <w:rPr>
          <w:rFonts w:ascii="Times New Roman" w:hAnsi="Times New Roman" w:cs="Times New Roman"/>
        </w:rPr>
        <w:t xml:space="preserve"> (</w:t>
      </w:r>
      <w:r w:rsidR="00885B60" w:rsidRPr="00123A4F">
        <w:rPr>
          <w:rFonts w:ascii="Times New Roman" w:hAnsi="Times New Roman" w:cs="Times New Roman"/>
        </w:rPr>
        <w:t>43</w:t>
      </w:r>
      <w:r w:rsidR="005E3B01" w:rsidRPr="00123A4F">
        <w:rPr>
          <w:rFonts w:ascii="Times New Roman" w:hAnsi="Times New Roman" w:cs="Times New Roman"/>
        </w:rPr>
        <w:t>)</w:t>
      </w:r>
      <w:r w:rsidRPr="00123A4F">
        <w:rPr>
          <w:rFonts w:ascii="Times New Roman" w:hAnsi="Times New Roman" w:cs="Times New Roman"/>
        </w:rPr>
        <w:t xml:space="preserve"> e rappresenta il dato più elevato nell’intero panorama europeo (la Germania che solitamente, anche per ragioni demografiche, guida questa classifica, si è fermata nel 2024 a </w:t>
      </w:r>
      <w:r w:rsidR="00885B60" w:rsidRPr="00123A4F">
        <w:rPr>
          <w:rFonts w:ascii="Times New Roman" w:hAnsi="Times New Roman" w:cs="Times New Roman"/>
        </w:rPr>
        <w:t xml:space="preserve">66 </w:t>
      </w:r>
      <w:r w:rsidRPr="00123A4F">
        <w:rPr>
          <w:rFonts w:ascii="Times New Roman" w:hAnsi="Times New Roman" w:cs="Times New Roman"/>
        </w:rPr>
        <w:t>rinvii).</w:t>
      </w:r>
    </w:p>
  </w:footnote>
  <w:footnote w:id="20">
    <w:p w14:paraId="3905510B" w14:textId="2EFE0D41"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Già nel 2012 M. L</w:t>
      </w:r>
      <w:r w:rsidRPr="00123A4F">
        <w:rPr>
          <w:rFonts w:ascii="Times New Roman" w:hAnsi="Times New Roman" w:cs="Times New Roman"/>
          <w:smallCaps/>
        </w:rPr>
        <w:t>uciani</w:t>
      </w:r>
      <w:r w:rsidRPr="00123A4F">
        <w:rPr>
          <w:rFonts w:ascii="Times New Roman" w:hAnsi="Times New Roman" w:cs="Times New Roman"/>
        </w:rPr>
        <w:t xml:space="preserve">, </w:t>
      </w:r>
      <w:r w:rsidRPr="00123A4F">
        <w:rPr>
          <w:rFonts w:ascii="Times New Roman" w:hAnsi="Times New Roman" w:cs="Times New Roman"/>
          <w:i/>
          <w:iCs/>
        </w:rPr>
        <w:t>Funzioni e responsabilità della giurisdizione. Una vicenda italiana (e non solo),</w:t>
      </w:r>
      <w:r w:rsidRPr="00123A4F">
        <w:rPr>
          <w:rFonts w:ascii="Times New Roman" w:hAnsi="Times New Roman" w:cs="Times New Roman"/>
        </w:rPr>
        <w:t xml:space="preserve"> in </w:t>
      </w:r>
      <w:r w:rsidRPr="00123A4F">
        <w:rPr>
          <w:rFonts w:ascii="Times New Roman" w:hAnsi="Times New Roman" w:cs="Times New Roman"/>
          <w:i/>
          <w:iCs/>
        </w:rPr>
        <w:t>Rivista AIC</w:t>
      </w:r>
      <w:r w:rsidRPr="00123A4F">
        <w:rPr>
          <w:rFonts w:ascii="Times New Roman" w:hAnsi="Times New Roman" w:cs="Times New Roman"/>
        </w:rPr>
        <w:t>, 2012, 3, p. 8 lucidamente rilevava che «il giudice comune si è sostanzialmente sostituito al giudice costituzionale, rimpiazzando l’incidentalità e il controllo accentrato con un controllo para-diffuso di costituzionalità». Di un rischio di essiccamento del sindacato accentrato discorr</w:t>
      </w:r>
      <w:r w:rsidR="000421E6" w:rsidRPr="00123A4F">
        <w:rPr>
          <w:rFonts w:ascii="Times New Roman" w:hAnsi="Times New Roman" w:cs="Times New Roman"/>
        </w:rPr>
        <w:t>ono</w:t>
      </w:r>
      <w:r w:rsidRPr="00123A4F">
        <w:rPr>
          <w:rFonts w:ascii="Times New Roman" w:hAnsi="Times New Roman" w:cs="Times New Roman"/>
        </w:rPr>
        <w:t xml:space="preserve"> </w:t>
      </w:r>
      <w:r w:rsidRPr="00123A4F">
        <w:rPr>
          <w:rFonts w:ascii="Times New Roman" w:hAnsi="Times New Roman" w:cs="Times New Roman"/>
          <w:smallCaps/>
        </w:rPr>
        <w:t>G. Laneve</w:t>
      </w:r>
      <w:r w:rsidRPr="00123A4F">
        <w:rPr>
          <w:rFonts w:ascii="Times New Roman" w:hAnsi="Times New Roman" w:cs="Times New Roman"/>
        </w:rPr>
        <w:t xml:space="preserve"> </w:t>
      </w:r>
      <w:r w:rsidRPr="00123A4F">
        <w:rPr>
          <w:rFonts w:ascii="Times New Roman" w:hAnsi="Times New Roman" w:cs="Times New Roman"/>
          <w:i/>
          <w:iCs/>
        </w:rPr>
        <w:t>Legislatore e giudici nel contesto delle trasformazioni costituzionali della globalizzazione: alcune riflessioni</w:t>
      </w:r>
      <w:r w:rsidRPr="00123A4F">
        <w:rPr>
          <w:rFonts w:ascii="Times New Roman" w:hAnsi="Times New Roman" w:cs="Times New Roman"/>
        </w:rPr>
        <w:t xml:space="preserve">, in </w:t>
      </w:r>
      <w:r w:rsidRPr="00123A4F">
        <w:rPr>
          <w:rFonts w:ascii="Times New Roman" w:hAnsi="Times New Roman" w:cs="Times New Roman"/>
          <w:i/>
          <w:iCs/>
        </w:rPr>
        <w:t>Rivista AIC</w:t>
      </w:r>
      <w:r w:rsidRPr="00123A4F">
        <w:rPr>
          <w:rFonts w:ascii="Times New Roman" w:hAnsi="Times New Roman" w:cs="Times New Roman"/>
        </w:rPr>
        <w:t xml:space="preserve">, 2018, 4, p. 453; </w:t>
      </w:r>
      <w:r w:rsidRPr="00123A4F">
        <w:rPr>
          <w:rFonts w:ascii="Times New Roman" w:hAnsi="Times New Roman" w:cs="Times New Roman"/>
          <w:smallCaps/>
        </w:rPr>
        <w:t>A. Pugiotto</w:t>
      </w:r>
      <w:r w:rsidRPr="00123A4F">
        <w:rPr>
          <w:rFonts w:ascii="Times New Roman" w:hAnsi="Times New Roman" w:cs="Times New Roman"/>
        </w:rPr>
        <w:t xml:space="preserve">, </w:t>
      </w:r>
      <w:r w:rsidRPr="00123A4F">
        <w:rPr>
          <w:rFonts w:ascii="Times New Roman" w:hAnsi="Times New Roman" w:cs="Times New Roman"/>
          <w:i/>
          <w:iCs/>
        </w:rPr>
        <w:t>Dalla “porta stretta” alla “fuga” dalla giustizia costituzionale? Sessant’anni di rapporti tra Corte e giudici comuni</w:t>
      </w:r>
      <w:r w:rsidRPr="00123A4F">
        <w:rPr>
          <w:rFonts w:ascii="Times New Roman" w:hAnsi="Times New Roman" w:cs="Times New Roman"/>
        </w:rPr>
        <w:t xml:space="preserve">, in </w:t>
      </w:r>
      <w:r w:rsidRPr="00123A4F">
        <w:rPr>
          <w:rFonts w:ascii="Times New Roman" w:hAnsi="Times New Roman" w:cs="Times New Roman"/>
          <w:i/>
          <w:iCs/>
        </w:rPr>
        <w:t>Quad. cost.</w:t>
      </w:r>
      <w:r w:rsidRPr="00123A4F">
        <w:rPr>
          <w:rFonts w:ascii="Times New Roman" w:hAnsi="Times New Roman" w:cs="Times New Roman"/>
        </w:rPr>
        <w:t xml:space="preserve">, 2016, 1, pp. 149 ss.; </w:t>
      </w:r>
      <w:r w:rsidRPr="00123A4F">
        <w:rPr>
          <w:rFonts w:ascii="Times New Roman" w:hAnsi="Times New Roman" w:cs="Times New Roman"/>
          <w:smallCaps/>
        </w:rPr>
        <w:t>D. Tega</w:t>
      </w:r>
      <w:r w:rsidRPr="00123A4F">
        <w:rPr>
          <w:rFonts w:ascii="Times New Roman" w:hAnsi="Times New Roman" w:cs="Times New Roman"/>
        </w:rPr>
        <w:t xml:space="preserve">, </w:t>
      </w:r>
      <w:r w:rsidRPr="00123A4F">
        <w:rPr>
          <w:rFonts w:ascii="Times New Roman" w:hAnsi="Times New Roman" w:cs="Times New Roman"/>
          <w:i/>
          <w:iCs/>
        </w:rPr>
        <w:t>La sentenza n. 269 del 2017 e il concorso di rimedi giurisdizionali costituzionali ed europei</w:t>
      </w:r>
      <w:r w:rsidRPr="00123A4F">
        <w:rPr>
          <w:rFonts w:ascii="Times New Roman" w:hAnsi="Times New Roman" w:cs="Times New Roman"/>
        </w:rPr>
        <w:t xml:space="preserve">, in </w:t>
      </w:r>
      <w:r w:rsidRPr="00123A4F">
        <w:rPr>
          <w:rFonts w:ascii="Times New Roman" w:hAnsi="Times New Roman" w:cs="Times New Roman"/>
          <w:i/>
          <w:iCs/>
        </w:rPr>
        <w:t>Forumcostituzionale.it</w:t>
      </w:r>
      <w:r w:rsidRPr="00123A4F">
        <w:rPr>
          <w:rFonts w:ascii="Times New Roman" w:hAnsi="Times New Roman" w:cs="Times New Roman"/>
        </w:rPr>
        <w:t xml:space="preserve">, 24 gennaio 2018 e, se si vuole, </w:t>
      </w:r>
      <w:r w:rsidRPr="00123A4F">
        <w:rPr>
          <w:rFonts w:ascii="Times New Roman" w:hAnsi="Times New Roman" w:cs="Times New Roman"/>
          <w:smallCaps/>
        </w:rPr>
        <w:t>G. Scaccia</w:t>
      </w:r>
      <w:r w:rsidRPr="00123A4F">
        <w:rPr>
          <w:rFonts w:ascii="Times New Roman" w:hAnsi="Times New Roman" w:cs="Times New Roman"/>
        </w:rPr>
        <w:t xml:space="preserve">, </w:t>
      </w:r>
      <w:r w:rsidRPr="00123A4F">
        <w:rPr>
          <w:rFonts w:ascii="Times New Roman" w:hAnsi="Times New Roman" w:cs="Times New Roman"/>
          <w:i/>
          <w:iCs/>
        </w:rPr>
        <w:t>Giudici comuni e diritto dell’Unione europea nella sentenza della Corte costituzionale n. 269 del 2017</w:t>
      </w:r>
      <w:r w:rsidRPr="00123A4F">
        <w:rPr>
          <w:rFonts w:ascii="Times New Roman" w:hAnsi="Times New Roman" w:cs="Times New Roman"/>
        </w:rPr>
        <w:t xml:space="preserve">, in </w:t>
      </w:r>
      <w:proofErr w:type="spellStart"/>
      <w:r w:rsidRPr="00123A4F">
        <w:rPr>
          <w:rFonts w:ascii="Times New Roman" w:hAnsi="Times New Roman" w:cs="Times New Roman"/>
          <w:i/>
          <w:iCs/>
        </w:rPr>
        <w:t>Oss</w:t>
      </w:r>
      <w:proofErr w:type="spellEnd"/>
      <w:r w:rsidRPr="00123A4F">
        <w:rPr>
          <w:rFonts w:ascii="Times New Roman" w:hAnsi="Times New Roman" w:cs="Times New Roman"/>
          <w:i/>
          <w:iCs/>
        </w:rPr>
        <w:t>. cost</w:t>
      </w:r>
      <w:r w:rsidRPr="00123A4F">
        <w:rPr>
          <w:rFonts w:ascii="Times New Roman" w:hAnsi="Times New Roman" w:cs="Times New Roman"/>
        </w:rPr>
        <w:t xml:space="preserve">., 2018, </w:t>
      </w:r>
      <w:r w:rsidR="000E39B0" w:rsidRPr="00123A4F">
        <w:rPr>
          <w:rFonts w:ascii="Times New Roman" w:hAnsi="Times New Roman" w:cs="Times New Roman"/>
        </w:rPr>
        <w:t xml:space="preserve">p. </w:t>
      </w:r>
      <w:r w:rsidRPr="00123A4F">
        <w:rPr>
          <w:rFonts w:ascii="Times New Roman" w:hAnsi="Times New Roman" w:cs="Times New Roman"/>
        </w:rPr>
        <w:t xml:space="preserve">2. </w:t>
      </w:r>
    </w:p>
  </w:footnote>
  <w:footnote w:id="21">
    <w:p w14:paraId="1C02E246" w14:textId="0F595CBE"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Ricostruisce diffusamente l’orientamento “espansivo” della Corte di Giustizia nell’interpretazione della dottrina dell’effetto diretto </w:t>
      </w:r>
      <w:r w:rsidRPr="00123A4F">
        <w:rPr>
          <w:rFonts w:ascii="Times New Roman" w:hAnsi="Times New Roman" w:cs="Times New Roman"/>
          <w:smallCaps/>
        </w:rPr>
        <w:t>D</w:t>
      </w:r>
      <w:r w:rsidR="00A522E6" w:rsidRPr="00123A4F">
        <w:rPr>
          <w:rFonts w:ascii="Times New Roman" w:hAnsi="Times New Roman" w:cs="Times New Roman"/>
          <w:smallCaps/>
        </w:rPr>
        <w:t>.</w:t>
      </w:r>
      <w:r w:rsidRPr="00123A4F">
        <w:rPr>
          <w:rFonts w:ascii="Times New Roman" w:hAnsi="Times New Roman" w:cs="Times New Roman"/>
          <w:smallCaps/>
        </w:rPr>
        <w:t xml:space="preserve"> Gallo</w:t>
      </w:r>
      <w:r w:rsidRPr="00123A4F">
        <w:rPr>
          <w:rFonts w:ascii="Times New Roman" w:hAnsi="Times New Roman" w:cs="Times New Roman"/>
        </w:rPr>
        <w:t xml:space="preserve">, </w:t>
      </w:r>
      <w:r w:rsidRPr="00123A4F">
        <w:rPr>
          <w:rFonts w:ascii="Times New Roman" w:hAnsi="Times New Roman" w:cs="Times New Roman"/>
          <w:i/>
          <w:iCs/>
        </w:rPr>
        <w:t>L’efficacia diretta del diritto dell’Unione europea negli ordinamenti nazionali. Evoluzione di una dottrina controversa</w:t>
      </w:r>
      <w:r w:rsidRPr="00123A4F">
        <w:rPr>
          <w:rFonts w:ascii="Times New Roman" w:hAnsi="Times New Roman" w:cs="Times New Roman"/>
        </w:rPr>
        <w:t>, Milano, 2018</w:t>
      </w:r>
      <w:r w:rsidR="000E39B0" w:rsidRPr="00123A4F">
        <w:rPr>
          <w:rFonts w:ascii="Times New Roman" w:hAnsi="Times New Roman" w:cs="Times New Roman"/>
        </w:rPr>
        <w:t xml:space="preserve"> e, più recentemente, in </w:t>
      </w:r>
      <w:r w:rsidR="000E39B0" w:rsidRPr="00123A4F">
        <w:rPr>
          <w:rFonts w:ascii="Times New Roman" w:hAnsi="Times New Roman" w:cs="Times New Roman"/>
          <w:smallCaps/>
        </w:rPr>
        <w:t>Id</w:t>
      </w:r>
      <w:r w:rsidR="000E39B0" w:rsidRPr="00123A4F">
        <w:rPr>
          <w:rFonts w:ascii="Times New Roman" w:hAnsi="Times New Roman" w:cs="Times New Roman"/>
        </w:rPr>
        <w:t xml:space="preserve">., </w:t>
      </w:r>
      <w:r w:rsidR="000E39B0" w:rsidRPr="00123A4F">
        <w:rPr>
          <w:rFonts w:ascii="Times New Roman" w:hAnsi="Times New Roman" w:cs="Times New Roman"/>
          <w:i/>
          <w:iCs/>
        </w:rPr>
        <w:t xml:space="preserve">Direct </w:t>
      </w:r>
      <w:proofErr w:type="spellStart"/>
      <w:r w:rsidR="000E39B0" w:rsidRPr="00123A4F">
        <w:rPr>
          <w:rFonts w:ascii="Times New Roman" w:hAnsi="Times New Roman" w:cs="Times New Roman"/>
          <w:i/>
          <w:iCs/>
        </w:rPr>
        <w:t>effect</w:t>
      </w:r>
      <w:proofErr w:type="spellEnd"/>
      <w:r w:rsidR="000E39B0" w:rsidRPr="00123A4F">
        <w:rPr>
          <w:rFonts w:ascii="Times New Roman" w:hAnsi="Times New Roman" w:cs="Times New Roman"/>
          <w:i/>
          <w:iCs/>
        </w:rPr>
        <w:t xml:space="preserve"> in EU Law</w:t>
      </w:r>
      <w:r w:rsidR="000E39B0" w:rsidRPr="00123A4F">
        <w:rPr>
          <w:rFonts w:ascii="Times New Roman" w:hAnsi="Times New Roman" w:cs="Times New Roman"/>
        </w:rPr>
        <w:t>, Oxford, 2025</w:t>
      </w:r>
      <w:r w:rsidRPr="00123A4F">
        <w:rPr>
          <w:rFonts w:ascii="Times New Roman" w:hAnsi="Times New Roman" w:cs="Times New Roman"/>
        </w:rPr>
        <w:t xml:space="preserve">. </w:t>
      </w:r>
    </w:p>
  </w:footnote>
  <w:footnote w:id="22">
    <w:p w14:paraId="35AF51A6" w14:textId="77777777" w:rsidR="00FF3EEB" w:rsidRPr="00123A4F" w:rsidRDefault="00FF3EEB" w:rsidP="00FF3EEB">
      <w:pPr>
        <w:spacing w:after="0" w:line="240" w:lineRule="auto"/>
        <w:jc w:val="both"/>
        <w:rPr>
          <w:rFonts w:ascii="Times New Roman" w:hAnsi="Times New Roman" w:cs="Times New Roman"/>
          <w:sz w:val="20"/>
          <w:szCs w:val="20"/>
        </w:rPr>
      </w:pPr>
      <w:r w:rsidRPr="00123A4F">
        <w:rPr>
          <w:rStyle w:val="Rimandonotaapidipagina"/>
          <w:rFonts w:ascii="Times New Roman" w:hAnsi="Times New Roman" w:cs="Times New Roman"/>
          <w:sz w:val="20"/>
          <w:szCs w:val="20"/>
        </w:rPr>
        <w:footnoteRef/>
      </w:r>
      <w:r w:rsidRPr="00123A4F">
        <w:rPr>
          <w:rFonts w:ascii="Times New Roman" w:hAnsi="Times New Roman" w:cs="Times New Roman"/>
          <w:sz w:val="20"/>
          <w:szCs w:val="20"/>
        </w:rPr>
        <w:t xml:space="preserve"> Nella sentenza del 24 aprile 2013 sulla legge per la raccolta dei dati con finalità antiterroristiche (</w:t>
      </w:r>
      <w:proofErr w:type="spellStart"/>
      <w:r w:rsidRPr="00123A4F">
        <w:rPr>
          <w:rFonts w:ascii="Times New Roman" w:hAnsi="Times New Roman" w:cs="Times New Roman"/>
          <w:i/>
          <w:iCs/>
          <w:sz w:val="20"/>
          <w:szCs w:val="20"/>
        </w:rPr>
        <w:t>Antiterrordatei</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Urteil</w:t>
      </w:r>
      <w:proofErr w:type="spellEnd"/>
      <w:r w:rsidRPr="00123A4F">
        <w:rPr>
          <w:rFonts w:ascii="Times New Roman" w:hAnsi="Times New Roman" w:cs="Times New Roman"/>
          <w:sz w:val="20"/>
          <w:szCs w:val="20"/>
        </w:rPr>
        <w:t xml:space="preserve"> - 1 </w:t>
      </w:r>
      <w:proofErr w:type="spellStart"/>
      <w:r w:rsidRPr="00123A4F">
        <w:rPr>
          <w:rFonts w:ascii="Times New Roman" w:hAnsi="Times New Roman" w:cs="Times New Roman"/>
          <w:sz w:val="20"/>
          <w:szCs w:val="20"/>
        </w:rPr>
        <w:t>BvR</w:t>
      </w:r>
      <w:proofErr w:type="spellEnd"/>
      <w:r w:rsidRPr="00123A4F">
        <w:rPr>
          <w:rFonts w:ascii="Times New Roman" w:hAnsi="Times New Roman" w:cs="Times New Roman"/>
          <w:sz w:val="20"/>
          <w:szCs w:val="20"/>
        </w:rPr>
        <w:t xml:space="preserve"> 1215/07), il </w:t>
      </w:r>
      <w:proofErr w:type="spellStart"/>
      <w:r w:rsidRPr="00123A4F">
        <w:rPr>
          <w:rFonts w:ascii="Times New Roman" w:hAnsi="Times New Roman" w:cs="Times New Roman"/>
          <w:i/>
          <w:iCs/>
          <w:sz w:val="20"/>
          <w:szCs w:val="20"/>
        </w:rPr>
        <w:t>Bundesverfassungsgericht</w:t>
      </w:r>
      <w:proofErr w:type="spellEnd"/>
      <w:r w:rsidRPr="00123A4F">
        <w:rPr>
          <w:rFonts w:ascii="Times New Roman" w:hAnsi="Times New Roman" w:cs="Times New Roman"/>
          <w:sz w:val="20"/>
          <w:szCs w:val="20"/>
        </w:rPr>
        <w:t xml:space="preserve"> ha statuito che la decisione Fransson – nell’ottica di una relazione improntata alla leale collaborazione – deve essere interpretata in modo restrittivo, come riferita al solo ambito della legislazione in tema di IVA, senza esprimere un principio di ordine generale. In caso contrario, infatti quella sentenza, come si legge nella Press Release n. 31/2013, avrebbe «</w:t>
      </w:r>
      <w:proofErr w:type="spellStart"/>
      <w:r w:rsidRPr="00123A4F">
        <w:rPr>
          <w:rFonts w:ascii="Times New Roman" w:hAnsi="Times New Roman" w:cs="Times New Roman"/>
          <w:i/>
          <w:iCs/>
          <w:sz w:val="20"/>
          <w:szCs w:val="20"/>
        </w:rPr>
        <w:t>endangered</w:t>
      </w:r>
      <w:proofErr w:type="spellEnd"/>
      <w:r w:rsidRPr="00123A4F">
        <w:rPr>
          <w:rFonts w:ascii="Times New Roman" w:hAnsi="Times New Roman" w:cs="Times New Roman"/>
          <w:i/>
          <w:iCs/>
          <w:sz w:val="20"/>
          <w:szCs w:val="20"/>
        </w:rPr>
        <w:t xml:space="preserve"> the </w:t>
      </w:r>
      <w:proofErr w:type="spellStart"/>
      <w:r w:rsidRPr="00123A4F">
        <w:rPr>
          <w:rFonts w:ascii="Times New Roman" w:hAnsi="Times New Roman" w:cs="Times New Roman"/>
          <w:i/>
          <w:iCs/>
          <w:sz w:val="20"/>
          <w:szCs w:val="20"/>
        </w:rPr>
        <w:t>protection</w:t>
      </w:r>
      <w:proofErr w:type="spellEnd"/>
      <w:r w:rsidRPr="00123A4F">
        <w:rPr>
          <w:rFonts w:ascii="Times New Roman" w:hAnsi="Times New Roman" w:cs="Times New Roman"/>
          <w:i/>
          <w:iCs/>
          <w:sz w:val="20"/>
          <w:szCs w:val="20"/>
        </w:rPr>
        <w:t xml:space="preserve"> and enforcement of the </w:t>
      </w:r>
      <w:proofErr w:type="spellStart"/>
      <w:r w:rsidRPr="00123A4F">
        <w:rPr>
          <w:rFonts w:ascii="Times New Roman" w:hAnsi="Times New Roman" w:cs="Times New Roman"/>
          <w:i/>
          <w:iCs/>
          <w:sz w:val="20"/>
          <w:szCs w:val="20"/>
        </w:rPr>
        <w:t>fundamental</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rights</w:t>
      </w:r>
      <w:proofErr w:type="spellEnd"/>
      <w:r w:rsidRPr="00123A4F">
        <w:rPr>
          <w:rFonts w:ascii="Times New Roman" w:hAnsi="Times New Roman" w:cs="Times New Roman"/>
          <w:i/>
          <w:iCs/>
          <w:sz w:val="20"/>
          <w:szCs w:val="20"/>
        </w:rPr>
        <w:t xml:space="preserve"> in the </w:t>
      </w:r>
      <w:proofErr w:type="spellStart"/>
      <w:r w:rsidRPr="00123A4F">
        <w:rPr>
          <w:rFonts w:ascii="Times New Roman" w:hAnsi="Times New Roman" w:cs="Times New Roman"/>
          <w:i/>
          <w:iCs/>
          <w:sz w:val="20"/>
          <w:szCs w:val="20"/>
        </w:rPr>
        <w:t>member</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states</w:t>
      </w:r>
      <w:proofErr w:type="spellEnd"/>
      <w:r w:rsidRPr="00123A4F">
        <w:rPr>
          <w:rFonts w:ascii="Times New Roman" w:hAnsi="Times New Roman" w:cs="Times New Roman"/>
          <w:i/>
          <w:iCs/>
          <w:sz w:val="20"/>
          <w:szCs w:val="20"/>
        </w:rPr>
        <w:t xml:space="preserve"> in a way </w:t>
      </w:r>
      <w:proofErr w:type="spellStart"/>
      <w:r w:rsidRPr="00123A4F">
        <w:rPr>
          <w:rFonts w:ascii="Times New Roman" w:hAnsi="Times New Roman" w:cs="Times New Roman"/>
          <w:i/>
          <w:iCs/>
          <w:sz w:val="20"/>
          <w:szCs w:val="20"/>
        </w:rPr>
        <w:t>that</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questioned</w:t>
      </w:r>
      <w:proofErr w:type="spellEnd"/>
      <w:r w:rsidRPr="00123A4F">
        <w:rPr>
          <w:rFonts w:ascii="Times New Roman" w:hAnsi="Times New Roman" w:cs="Times New Roman"/>
          <w:i/>
          <w:iCs/>
          <w:sz w:val="20"/>
          <w:szCs w:val="20"/>
        </w:rPr>
        <w:t xml:space="preserve"> the </w:t>
      </w:r>
      <w:proofErr w:type="spellStart"/>
      <w:r w:rsidRPr="00123A4F">
        <w:rPr>
          <w:rFonts w:ascii="Times New Roman" w:hAnsi="Times New Roman" w:cs="Times New Roman"/>
          <w:i/>
          <w:iCs/>
          <w:sz w:val="20"/>
          <w:szCs w:val="20"/>
        </w:rPr>
        <w:t>identity</w:t>
      </w:r>
      <w:proofErr w:type="spellEnd"/>
      <w:r w:rsidRPr="00123A4F">
        <w:rPr>
          <w:rFonts w:ascii="Times New Roman" w:hAnsi="Times New Roman" w:cs="Times New Roman"/>
          <w:i/>
          <w:iCs/>
          <w:sz w:val="20"/>
          <w:szCs w:val="20"/>
        </w:rPr>
        <w:t xml:space="preserve"> of the Basic </w:t>
      </w:r>
      <w:proofErr w:type="spellStart"/>
      <w:r w:rsidRPr="00123A4F">
        <w:rPr>
          <w:rFonts w:ascii="Times New Roman" w:hAnsi="Times New Roman" w:cs="Times New Roman"/>
          <w:i/>
          <w:iCs/>
          <w:sz w:val="20"/>
          <w:szCs w:val="20"/>
        </w:rPr>
        <w:t>Law’s</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constitutional</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order</w:t>
      </w:r>
      <w:proofErr w:type="spellEnd"/>
      <w:r w:rsidRPr="00123A4F">
        <w:rPr>
          <w:rFonts w:ascii="Times New Roman" w:hAnsi="Times New Roman" w:cs="Times New Roman"/>
          <w:sz w:val="20"/>
          <w:szCs w:val="20"/>
        </w:rPr>
        <w:t xml:space="preserve">» e sarebbe stato conseguentemente un atto </w:t>
      </w:r>
      <w:r w:rsidRPr="00123A4F">
        <w:rPr>
          <w:rFonts w:ascii="Times New Roman" w:hAnsi="Times New Roman" w:cs="Times New Roman"/>
          <w:i/>
          <w:iCs/>
          <w:sz w:val="20"/>
          <w:szCs w:val="20"/>
        </w:rPr>
        <w:t xml:space="preserve">ultra </w:t>
      </w:r>
      <w:proofErr w:type="spellStart"/>
      <w:r w:rsidRPr="00123A4F">
        <w:rPr>
          <w:rFonts w:ascii="Times New Roman" w:hAnsi="Times New Roman" w:cs="Times New Roman"/>
          <w:i/>
          <w:iCs/>
          <w:sz w:val="20"/>
          <w:szCs w:val="20"/>
        </w:rPr>
        <w:t>vires</w:t>
      </w:r>
      <w:proofErr w:type="spellEnd"/>
      <w:r w:rsidRPr="00123A4F">
        <w:rPr>
          <w:rFonts w:ascii="Times New Roman" w:hAnsi="Times New Roman" w:cs="Times New Roman"/>
          <w:sz w:val="20"/>
          <w:szCs w:val="20"/>
        </w:rPr>
        <w:t>, in quanto tale inefficace nell’ordinamento tedesco.</w:t>
      </w:r>
    </w:p>
  </w:footnote>
  <w:footnote w:id="23">
    <w:p w14:paraId="21DC2C51" w14:textId="77777777"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Pr="00123A4F">
        <w:rPr>
          <w:rFonts w:ascii="Times New Roman" w:hAnsi="Times New Roman" w:cs="Times New Roman"/>
          <w:smallCaps/>
        </w:rPr>
        <w:t>T. D’Aquino</w:t>
      </w:r>
      <w:r w:rsidRPr="00123A4F">
        <w:rPr>
          <w:rFonts w:ascii="Times New Roman" w:hAnsi="Times New Roman" w:cs="Times New Roman"/>
        </w:rPr>
        <w:t xml:space="preserve">, </w:t>
      </w:r>
      <w:r w:rsidRPr="00123A4F">
        <w:rPr>
          <w:rFonts w:ascii="Times New Roman" w:hAnsi="Times New Roman" w:cs="Times New Roman"/>
          <w:i/>
          <w:iCs/>
        </w:rPr>
        <w:t xml:space="preserve">Summa </w:t>
      </w:r>
      <w:proofErr w:type="spellStart"/>
      <w:r w:rsidRPr="00123A4F">
        <w:rPr>
          <w:rFonts w:ascii="Times New Roman" w:hAnsi="Times New Roman" w:cs="Times New Roman"/>
          <w:i/>
          <w:iCs/>
        </w:rPr>
        <w:t>Theologiae</w:t>
      </w:r>
      <w:proofErr w:type="spellEnd"/>
      <w:r w:rsidRPr="00123A4F">
        <w:rPr>
          <w:rFonts w:ascii="Times New Roman" w:hAnsi="Times New Roman" w:cs="Times New Roman"/>
          <w:i/>
          <w:iCs/>
        </w:rPr>
        <w:t xml:space="preserve">, Summa </w:t>
      </w:r>
      <w:proofErr w:type="spellStart"/>
      <w:r w:rsidRPr="00123A4F">
        <w:rPr>
          <w:rFonts w:ascii="Times New Roman" w:hAnsi="Times New Roman" w:cs="Times New Roman"/>
          <w:i/>
          <w:iCs/>
        </w:rPr>
        <w:t>Theologiae</w:t>
      </w:r>
      <w:proofErr w:type="spellEnd"/>
      <w:r w:rsidRPr="00123A4F">
        <w:rPr>
          <w:rFonts w:ascii="Times New Roman" w:hAnsi="Times New Roman" w:cs="Times New Roman"/>
        </w:rPr>
        <w:t>, IIª-</w:t>
      </w:r>
      <w:proofErr w:type="spellStart"/>
      <w:r w:rsidRPr="00123A4F">
        <w:rPr>
          <w:rFonts w:ascii="Times New Roman" w:hAnsi="Times New Roman" w:cs="Times New Roman"/>
        </w:rPr>
        <w:t>IIae</w:t>
      </w:r>
      <w:proofErr w:type="spellEnd"/>
      <w:r w:rsidRPr="00123A4F">
        <w:rPr>
          <w:rFonts w:ascii="Times New Roman" w:hAnsi="Times New Roman" w:cs="Times New Roman"/>
        </w:rPr>
        <w:t xml:space="preserve"> q. 23-24, art. 6: «</w:t>
      </w:r>
      <w:r w:rsidRPr="00123A4F">
        <w:rPr>
          <w:rStyle w:val="Enfasicorsivo"/>
          <w:rFonts w:ascii="Times New Roman" w:hAnsi="Times New Roman" w:cs="Times New Roman"/>
          <w:shd w:val="clear" w:color="auto" w:fill="FFFFFF"/>
        </w:rPr>
        <w:t xml:space="preserve">Gregorius </w:t>
      </w:r>
      <w:proofErr w:type="spellStart"/>
      <w:r w:rsidRPr="00123A4F">
        <w:rPr>
          <w:rStyle w:val="Enfasicorsivo"/>
          <w:rFonts w:ascii="Times New Roman" w:hAnsi="Times New Roman" w:cs="Times New Roman"/>
          <w:shd w:val="clear" w:color="auto" w:fill="FFFFFF"/>
        </w:rPr>
        <w:t>dicit</w:t>
      </w:r>
      <w:proofErr w:type="spellEnd"/>
      <w:r w:rsidRPr="00123A4F">
        <w:rPr>
          <w:rStyle w:val="Enfasicorsivo"/>
          <w:rFonts w:ascii="Times New Roman" w:hAnsi="Times New Roman" w:cs="Times New Roman"/>
          <w:shd w:val="clear" w:color="auto" w:fill="FFFFFF"/>
        </w:rPr>
        <w:t xml:space="preserve"> </w:t>
      </w:r>
      <w:proofErr w:type="spellStart"/>
      <w:r w:rsidRPr="00123A4F">
        <w:rPr>
          <w:rStyle w:val="Enfasicorsivo"/>
          <w:rFonts w:ascii="Times New Roman" w:hAnsi="Times New Roman" w:cs="Times New Roman"/>
          <w:shd w:val="clear" w:color="auto" w:fill="FFFFFF"/>
        </w:rPr>
        <w:t>quod</w:t>
      </w:r>
      <w:proofErr w:type="spellEnd"/>
      <w:r w:rsidRPr="00123A4F">
        <w:rPr>
          <w:rStyle w:val="Enfasicorsivo"/>
          <w:rFonts w:ascii="Times New Roman" w:hAnsi="Times New Roman" w:cs="Times New Roman"/>
          <w:shd w:val="clear" w:color="auto" w:fill="FFFFFF"/>
        </w:rPr>
        <w:t xml:space="preserve"> in via Dei stare retrocedere est</w:t>
      </w:r>
      <w:r w:rsidRPr="00123A4F">
        <w:rPr>
          <w:rFonts w:ascii="Times New Roman" w:hAnsi="Times New Roman" w:cs="Times New Roman"/>
          <w:iCs/>
          <w:shd w:val="clear" w:color="auto" w:fill="FFFFFF"/>
        </w:rPr>
        <w:t xml:space="preserve">. </w:t>
      </w:r>
      <w:r w:rsidRPr="00123A4F">
        <w:rPr>
          <w:rFonts w:ascii="Times New Roman" w:hAnsi="Times New Roman" w:cs="Times New Roman"/>
          <w:i/>
          <w:shd w:val="clear" w:color="auto" w:fill="FFFFFF"/>
        </w:rPr>
        <w:t xml:space="preserve">Sed </w:t>
      </w:r>
      <w:proofErr w:type="spellStart"/>
      <w:r w:rsidRPr="00123A4F">
        <w:rPr>
          <w:rFonts w:ascii="Times New Roman" w:hAnsi="Times New Roman" w:cs="Times New Roman"/>
          <w:i/>
          <w:shd w:val="clear" w:color="auto" w:fill="FFFFFF"/>
        </w:rPr>
        <w:t>nullus</w:t>
      </w:r>
      <w:proofErr w:type="spellEnd"/>
      <w:r w:rsidRPr="00123A4F">
        <w:rPr>
          <w:rFonts w:ascii="Times New Roman" w:hAnsi="Times New Roman" w:cs="Times New Roman"/>
          <w:i/>
          <w:shd w:val="clear" w:color="auto" w:fill="FFFFFF"/>
        </w:rPr>
        <w:t xml:space="preserve">, dum </w:t>
      </w:r>
      <w:proofErr w:type="spellStart"/>
      <w:r w:rsidRPr="00123A4F">
        <w:rPr>
          <w:rFonts w:ascii="Times New Roman" w:hAnsi="Times New Roman" w:cs="Times New Roman"/>
          <w:i/>
          <w:shd w:val="clear" w:color="auto" w:fill="FFFFFF"/>
        </w:rPr>
        <w:t>movetur</w:t>
      </w:r>
      <w:proofErr w:type="spellEnd"/>
      <w:r w:rsidRPr="00123A4F">
        <w:rPr>
          <w:rFonts w:ascii="Times New Roman" w:hAnsi="Times New Roman" w:cs="Times New Roman"/>
          <w:i/>
          <w:shd w:val="clear" w:color="auto" w:fill="FFFFFF"/>
        </w:rPr>
        <w:t xml:space="preserve"> </w:t>
      </w:r>
      <w:proofErr w:type="spellStart"/>
      <w:r w:rsidRPr="00123A4F">
        <w:rPr>
          <w:rFonts w:ascii="Times New Roman" w:hAnsi="Times New Roman" w:cs="Times New Roman"/>
          <w:i/>
          <w:shd w:val="clear" w:color="auto" w:fill="FFFFFF"/>
        </w:rPr>
        <w:t>actu</w:t>
      </w:r>
      <w:proofErr w:type="spellEnd"/>
      <w:r w:rsidRPr="00123A4F">
        <w:rPr>
          <w:rFonts w:ascii="Times New Roman" w:hAnsi="Times New Roman" w:cs="Times New Roman"/>
          <w:i/>
          <w:shd w:val="clear" w:color="auto" w:fill="FFFFFF"/>
        </w:rPr>
        <w:t xml:space="preserve"> </w:t>
      </w:r>
      <w:proofErr w:type="spellStart"/>
      <w:r w:rsidRPr="00123A4F">
        <w:rPr>
          <w:rFonts w:ascii="Times New Roman" w:hAnsi="Times New Roman" w:cs="Times New Roman"/>
          <w:i/>
          <w:shd w:val="clear" w:color="auto" w:fill="FFFFFF"/>
        </w:rPr>
        <w:t>caritatis</w:t>
      </w:r>
      <w:proofErr w:type="spellEnd"/>
      <w:r w:rsidRPr="00123A4F">
        <w:rPr>
          <w:rFonts w:ascii="Times New Roman" w:hAnsi="Times New Roman" w:cs="Times New Roman"/>
          <w:i/>
          <w:shd w:val="clear" w:color="auto" w:fill="FFFFFF"/>
        </w:rPr>
        <w:t xml:space="preserve">, </w:t>
      </w:r>
      <w:proofErr w:type="spellStart"/>
      <w:r w:rsidRPr="00123A4F">
        <w:rPr>
          <w:rFonts w:ascii="Times New Roman" w:hAnsi="Times New Roman" w:cs="Times New Roman"/>
          <w:i/>
          <w:shd w:val="clear" w:color="auto" w:fill="FFFFFF"/>
        </w:rPr>
        <w:t>retrocedit</w:t>
      </w:r>
      <w:proofErr w:type="spellEnd"/>
      <w:r w:rsidRPr="00123A4F">
        <w:rPr>
          <w:rFonts w:ascii="Times New Roman" w:hAnsi="Times New Roman" w:cs="Times New Roman"/>
          <w:i/>
          <w:shd w:val="clear" w:color="auto" w:fill="FFFFFF"/>
        </w:rPr>
        <w:t xml:space="preserve">. Ergo </w:t>
      </w:r>
      <w:proofErr w:type="spellStart"/>
      <w:r w:rsidRPr="00123A4F">
        <w:rPr>
          <w:rFonts w:ascii="Times New Roman" w:hAnsi="Times New Roman" w:cs="Times New Roman"/>
          <w:i/>
          <w:shd w:val="clear" w:color="auto" w:fill="FFFFFF"/>
        </w:rPr>
        <w:t>quicumque</w:t>
      </w:r>
      <w:proofErr w:type="spellEnd"/>
      <w:r w:rsidRPr="00123A4F">
        <w:rPr>
          <w:rFonts w:ascii="Times New Roman" w:hAnsi="Times New Roman" w:cs="Times New Roman"/>
          <w:i/>
          <w:shd w:val="clear" w:color="auto" w:fill="FFFFFF"/>
        </w:rPr>
        <w:t xml:space="preserve"> </w:t>
      </w:r>
      <w:proofErr w:type="spellStart"/>
      <w:r w:rsidRPr="00123A4F">
        <w:rPr>
          <w:rFonts w:ascii="Times New Roman" w:hAnsi="Times New Roman" w:cs="Times New Roman"/>
          <w:i/>
          <w:shd w:val="clear" w:color="auto" w:fill="FFFFFF"/>
        </w:rPr>
        <w:t>movetur</w:t>
      </w:r>
      <w:proofErr w:type="spellEnd"/>
      <w:r w:rsidRPr="00123A4F">
        <w:rPr>
          <w:rFonts w:ascii="Times New Roman" w:hAnsi="Times New Roman" w:cs="Times New Roman"/>
          <w:i/>
          <w:shd w:val="clear" w:color="auto" w:fill="FFFFFF"/>
        </w:rPr>
        <w:t xml:space="preserve"> </w:t>
      </w:r>
      <w:proofErr w:type="spellStart"/>
      <w:r w:rsidRPr="00123A4F">
        <w:rPr>
          <w:rFonts w:ascii="Times New Roman" w:hAnsi="Times New Roman" w:cs="Times New Roman"/>
          <w:i/>
          <w:shd w:val="clear" w:color="auto" w:fill="FFFFFF"/>
        </w:rPr>
        <w:t>actu</w:t>
      </w:r>
      <w:proofErr w:type="spellEnd"/>
      <w:r w:rsidRPr="00123A4F">
        <w:rPr>
          <w:rFonts w:ascii="Times New Roman" w:hAnsi="Times New Roman" w:cs="Times New Roman"/>
          <w:i/>
          <w:shd w:val="clear" w:color="auto" w:fill="FFFFFF"/>
        </w:rPr>
        <w:t xml:space="preserve"> </w:t>
      </w:r>
      <w:proofErr w:type="spellStart"/>
      <w:r w:rsidRPr="00123A4F">
        <w:rPr>
          <w:rFonts w:ascii="Times New Roman" w:hAnsi="Times New Roman" w:cs="Times New Roman"/>
          <w:i/>
          <w:shd w:val="clear" w:color="auto" w:fill="FFFFFF"/>
        </w:rPr>
        <w:t>caritatis</w:t>
      </w:r>
      <w:proofErr w:type="spellEnd"/>
      <w:r w:rsidRPr="00123A4F">
        <w:rPr>
          <w:rFonts w:ascii="Times New Roman" w:hAnsi="Times New Roman" w:cs="Times New Roman"/>
          <w:i/>
          <w:shd w:val="clear" w:color="auto" w:fill="FFFFFF"/>
        </w:rPr>
        <w:t xml:space="preserve">, </w:t>
      </w:r>
      <w:proofErr w:type="spellStart"/>
      <w:r w:rsidRPr="00123A4F">
        <w:rPr>
          <w:rFonts w:ascii="Times New Roman" w:hAnsi="Times New Roman" w:cs="Times New Roman"/>
          <w:i/>
          <w:shd w:val="clear" w:color="auto" w:fill="FFFFFF"/>
        </w:rPr>
        <w:t>procedit</w:t>
      </w:r>
      <w:proofErr w:type="spellEnd"/>
      <w:r w:rsidRPr="00123A4F">
        <w:rPr>
          <w:rFonts w:ascii="Times New Roman" w:hAnsi="Times New Roman" w:cs="Times New Roman"/>
          <w:i/>
          <w:shd w:val="clear" w:color="auto" w:fill="FFFFFF"/>
        </w:rPr>
        <w:t xml:space="preserve"> in via Dei</w:t>
      </w:r>
      <w:r w:rsidRPr="00123A4F">
        <w:rPr>
          <w:rFonts w:ascii="Times New Roman" w:hAnsi="Times New Roman" w:cs="Times New Roman"/>
          <w:shd w:val="clear" w:color="auto" w:fill="FFFFFF"/>
        </w:rPr>
        <w:t>».</w:t>
      </w:r>
    </w:p>
  </w:footnote>
  <w:footnote w:id="24">
    <w:p w14:paraId="169CDF31" w14:textId="77777777"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Pr="00123A4F">
        <w:rPr>
          <w:rFonts w:ascii="Times New Roman" w:hAnsi="Times New Roman" w:cs="Times New Roman"/>
          <w:smallCaps/>
        </w:rPr>
        <w:t>P. Barile</w:t>
      </w:r>
      <w:r w:rsidRPr="00123A4F">
        <w:rPr>
          <w:rFonts w:ascii="Times New Roman" w:hAnsi="Times New Roman" w:cs="Times New Roman"/>
        </w:rPr>
        <w:t xml:space="preserve">, </w:t>
      </w:r>
      <w:r w:rsidRPr="00123A4F">
        <w:rPr>
          <w:rFonts w:ascii="Times New Roman" w:hAnsi="Times New Roman" w:cs="Times New Roman"/>
          <w:i/>
          <w:iCs/>
        </w:rPr>
        <w:t>Il cammino comunitario della Corte</w:t>
      </w:r>
      <w:r w:rsidRPr="00123A4F">
        <w:rPr>
          <w:rFonts w:ascii="Times New Roman" w:hAnsi="Times New Roman" w:cs="Times New Roman"/>
        </w:rPr>
        <w:t xml:space="preserve">, in </w:t>
      </w:r>
      <w:r w:rsidRPr="00123A4F">
        <w:rPr>
          <w:rFonts w:ascii="Times New Roman" w:hAnsi="Times New Roman" w:cs="Times New Roman"/>
          <w:i/>
          <w:iCs/>
        </w:rPr>
        <w:t>Giurisprudenza costituzionale</w:t>
      </w:r>
      <w:r w:rsidRPr="00123A4F">
        <w:rPr>
          <w:rFonts w:ascii="Times New Roman" w:hAnsi="Times New Roman" w:cs="Times New Roman"/>
        </w:rPr>
        <w:t>, 1973, p. 2401 ss.</w:t>
      </w:r>
    </w:p>
  </w:footnote>
  <w:footnote w:id="25">
    <w:p w14:paraId="1B2B2462" w14:textId="77777777"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Come aveva intuito </w:t>
      </w:r>
      <w:r w:rsidRPr="00123A4F">
        <w:rPr>
          <w:rFonts w:ascii="Times New Roman" w:hAnsi="Times New Roman" w:cs="Times New Roman"/>
          <w:smallCaps/>
        </w:rPr>
        <w:t>N. Zanon</w:t>
      </w:r>
      <w:r w:rsidRPr="00123A4F">
        <w:rPr>
          <w:rFonts w:ascii="Times New Roman" w:hAnsi="Times New Roman" w:cs="Times New Roman"/>
        </w:rPr>
        <w:t xml:space="preserve">, </w:t>
      </w:r>
      <w:r w:rsidRPr="00123A4F">
        <w:rPr>
          <w:rFonts w:ascii="Times New Roman" w:hAnsi="Times New Roman" w:cs="Times New Roman"/>
          <w:i/>
          <w:iCs/>
        </w:rPr>
        <w:t>Il ruolo della Corte costituzionale</w:t>
      </w:r>
      <w:r w:rsidRPr="00123A4F">
        <w:rPr>
          <w:rFonts w:ascii="Times New Roman" w:hAnsi="Times New Roman" w:cs="Times New Roman"/>
        </w:rPr>
        <w:t>, op. cit., p. 5.</w:t>
      </w:r>
    </w:p>
  </w:footnote>
  <w:footnote w:id="26">
    <w:p w14:paraId="611F8550" w14:textId="77777777"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La sentenza n. 20 del 2019 non declinava più in termini di doverosità la proposizione di una questione di legittimità costituzionale nei casi doppiamente pregiudiziali (come pareva fare la sentenza n. 269), mentre la sentenza n. 63 del 2019 rimuoveva rimosso ogni limite alla facoltà del giudice di procedere alla disapplicazione delle norme interne incompatibili con diritto UE dotato di effetto diretto.</w:t>
      </w:r>
    </w:p>
  </w:footnote>
  <w:footnote w:id="27">
    <w:p w14:paraId="114A335E" w14:textId="5D606E94" w:rsidR="00FF3EEB" w:rsidRPr="00123A4F" w:rsidRDefault="00FF3EEB" w:rsidP="00FF3EEB">
      <w:pPr>
        <w:spacing w:after="0" w:line="240" w:lineRule="auto"/>
        <w:jc w:val="both"/>
        <w:rPr>
          <w:rFonts w:ascii="Times New Roman" w:hAnsi="Times New Roman" w:cs="Times New Roman"/>
          <w:sz w:val="20"/>
          <w:szCs w:val="20"/>
        </w:rPr>
      </w:pPr>
      <w:r w:rsidRPr="00123A4F">
        <w:rPr>
          <w:rStyle w:val="Rimandonotaapidipagina"/>
          <w:rFonts w:ascii="Times New Roman" w:hAnsi="Times New Roman" w:cs="Times New Roman"/>
          <w:sz w:val="20"/>
          <w:szCs w:val="20"/>
        </w:rPr>
        <w:footnoteRef/>
      </w:r>
      <w:r w:rsidRPr="00123A4F">
        <w:rPr>
          <w:rFonts w:ascii="Times New Roman" w:hAnsi="Times New Roman" w:cs="Times New Roman"/>
          <w:sz w:val="20"/>
          <w:szCs w:val="20"/>
        </w:rPr>
        <w:t xml:space="preserve"> Nella sentenza n. 181 del 2024 non si fa più riferimento a «controversie che possono dare luogo a questioni di illegittimità costituzionale e, simultaneamente, a questioni di compatibilità con il diritto dell’Unione» (secondo lo schema della doppia pregiudizialità tracciato dalla </w:t>
      </w:r>
      <w:proofErr w:type="spellStart"/>
      <w:r w:rsidRPr="00123A4F">
        <w:rPr>
          <w:rFonts w:ascii="Times New Roman" w:hAnsi="Times New Roman" w:cs="Times New Roman"/>
          <w:sz w:val="20"/>
          <w:szCs w:val="20"/>
        </w:rPr>
        <w:t>sent</w:t>
      </w:r>
      <w:proofErr w:type="spellEnd"/>
      <w:r w:rsidRPr="00123A4F">
        <w:rPr>
          <w:rFonts w:ascii="Times New Roman" w:hAnsi="Times New Roman" w:cs="Times New Roman"/>
          <w:sz w:val="20"/>
          <w:szCs w:val="20"/>
        </w:rPr>
        <w:t xml:space="preserve">. 269); vengono, infatti, in rilievo anche censure che «investono la violazione di una norma europea (contenuta in qualsivoglia fonte) che presenti un nesso con interessi o principi di rilievo costituzionale, così da assicurare il ‘tono costituzionale’ della questione» (punto 6.3 del </w:t>
      </w:r>
      <w:r w:rsidRPr="00123A4F">
        <w:rPr>
          <w:rFonts w:ascii="Times New Roman" w:hAnsi="Times New Roman" w:cs="Times New Roman"/>
          <w:i/>
          <w:iCs/>
          <w:sz w:val="20"/>
          <w:szCs w:val="20"/>
        </w:rPr>
        <w:t>Considerato in diritto</w:t>
      </w:r>
      <w:r w:rsidRPr="00123A4F">
        <w:rPr>
          <w:rFonts w:ascii="Times New Roman" w:hAnsi="Times New Roman" w:cs="Times New Roman"/>
          <w:sz w:val="20"/>
          <w:szCs w:val="20"/>
        </w:rPr>
        <w:t xml:space="preserve">). Come ho provato ad argomentare in </w:t>
      </w:r>
      <w:r w:rsidRPr="00123A4F">
        <w:rPr>
          <w:rFonts w:ascii="Times New Roman" w:hAnsi="Times New Roman" w:cs="Times New Roman"/>
          <w:smallCaps/>
          <w:sz w:val="20"/>
          <w:szCs w:val="20"/>
        </w:rPr>
        <w:t>G. Scaccia</w:t>
      </w:r>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L’incompatibilità fra norma interna e norma comunitaria come ipotesi di incompetenza alla luce dell’art. 117, primo comma, della Costituzione</w:t>
      </w:r>
      <w:r w:rsidRPr="00123A4F">
        <w:rPr>
          <w:rFonts w:ascii="Times New Roman" w:hAnsi="Times New Roman" w:cs="Times New Roman"/>
          <w:sz w:val="20"/>
          <w:szCs w:val="20"/>
        </w:rPr>
        <w:t xml:space="preserve">, in </w:t>
      </w:r>
      <w:r w:rsidRPr="00123A4F">
        <w:rPr>
          <w:rFonts w:ascii="Times New Roman" w:hAnsi="Times New Roman" w:cs="Times New Roman"/>
          <w:smallCaps/>
          <w:sz w:val="20"/>
          <w:szCs w:val="20"/>
        </w:rPr>
        <w:t xml:space="preserve">Aa. </w:t>
      </w:r>
      <w:proofErr w:type="spellStart"/>
      <w:r w:rsidRPr="00123A4F">
        <w:rPr>
          <w:rFonts w:ascii="Times New Roman" w:hAnsi="Times New Roman" w:cs="Times New Roman"/>
          <w:smallCaps/>
          <w:sz w:val="20"/>
          <w:szCs w:val="20"/>
        </w:rPr>
        <w:t>Vv</w:t>
      </w:r>
      <w:proofErr w:type="spellEnd"/>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Studi in onore di Franco Modugno</w:t>
      </w:r>
      <w:r w:rsidRPr="00123A4F">
        <w:rPr>
          <w:rFonts w:ascii="Times New Roman" w:hAnsi="Times New Roman" w:cs="Times New Roman"/>
          <w:sz w:val="20"/>
          <w:szCs w:val="20"/>
        </w:rPr>
        <w:t xml:space="preserve">, Napoli, 2011, p. 3321 ss. la spiegazione teorica dell’incompatibilità comunitaria come ipotesi di disapplicazione </w:t>
      </w:r>
      <w:r w:rsidR="006C2AAF" w:rsidRPr="00123A4F">
        <w:rPr>
          <w:rFonts w:ascii="Times New Roman" w:hAnsi="Times New Roman" w:cs="Times New Roman"/>
          <w:sz w:val="20"/>
          <w:szCs w:val="20"/>
        </w:rPr>
        <w:t xml:space="preserve">è divenuta </w:t>
      </w:r>
      <w:r w:rsidRPr="00123A4F">
        <w:rPr>
          <w:rFonts w:ascii="Times New Roman" w:hAnsi="Times New Roman" w:cs="Times New Roman"/>
          <w:sz w:val="20"/>
          <w:szCs w:val="20"/>
        </w:rPr>
        <w:t>claudicante quando l’art. 117</w:t>
      </w:r>
      <w:r w:rsidR="005C2D2C" w:rsidRPr="00123A4F">
        <w:rPr>
          <w:rFonts w:ascii="Times New Roman" w:hAnsi="Times New Roman" w:cs="Times New Roman"/>
          <w:sz w:val="20"/>
          <w:szCs w:val="20"/>
        </w:rPr>
        <w:t xml:space="preserve">, con la novella del 2001, ha </w:t>
      </w:r>
      <w:r w:rsidRPr="00123A4F">
        <w:rPr>
          <w:rFonts w:ascii="Times New Roman" w:hAnsi="Times New Roman" w:cs="Times New Roman"/>
          <w:sz w:val="20"/>
          <w:szCs w:val="20"/>
        </w:rPr>
        <w:t xml:space="preserve">posto </w:t>
      </w:r>
      <w:r w:rsidR="005C2D2C" w:rsidRPr="00123A4F">
        <w:rPr>
          <w:rFonts w:ascii="Times New Roman" w:hAnsi="Times New Roman" w:cs="Times New Roman"/>
          <w:sz w:val="20"/>
          <w:szCs w:val="20"/>
        </w:rPr>
        <w:t xml:space="preserve">quali </w:t>
      </w:r>
      <w:r w:rsidRPr="00123A4F">
        <w:rPr>
          <w:rFonts w:ascii="Times New Roman" w:hAnsi="Times New Roman" w:cs="Times New Roman"/>
          <w:sz w:val="20"/>
          <w:szCs w:val="20"/>
        </w:rPr>
        <w:t>limiti di validità della legge: Costituzione, vincoli comunitari</w:t>
      </w:r>
      <w:r w:rsidR="005C2D2C" w:rsidRPr="00123A4F">
        <w:rPr>
          <w:rFonts w:ascii="Times New Roman" w:hAnsi="Times New Roman" w:cs="Times New Roman"/>
          <w:sz w:val="20"/>
          <w:szCs w:val="20"/>
        </w:rPr>
        <w:t xml:space="preserve"> e</w:t>
      </w:r>
      <w:r w:rsidRPr="00123A4F">
        <w:rPr>
          <w:rFonts w:ascii="Times New Roman" w:hAnsi="Times New Roman" w:cs="Times New Roman"/>
          <w:sz w:val="20"/>
          <w:szCs w:val="20"/>
        </w:rPr>
        <w:t xml:space="preserve"> obblighi internazionali. </w:t>
      </w:r>
    </w:p>
  </w:footnote>
  <w:footnote w:id="28">
    <w:p w14:paraId="58400548" w14:textId="46AF0F14" w:rsidR="00944077" w:rsidRPr="00123A4F" w:rsidRDefault="00944077" w:rsidP="00944077">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Cfr. punti 6.1. e 6.2 del </w:t>
      </w:r>
      <w:r w:rsidRPr="00123A4F">
        <w:rPr>
          <w:rFonts w:ascii="Times New Roman" w:hAnsi="Times New Roman" w:cs="Times New Roman"/>
          <w:i/>
          <w:iCs/>
        </w:rPr>
        <w:t>Cons</w:t>
      </w:r>
      <w:r w:rsidR="00B41014" w:rsidRPr="00123A4F">
        <w:rPr>
          <w:rFonts w:ascii="Times New Roman" w:hAnsi="Times New Roman" w:cs="Times New Roman"/>
          <w:i/>
          <w:iCs/>
        </w:rPr>
        <w:t xml:space="preserve">iderato in </w:t>
      </w:r>
      <w:r w:rsidRPr="00123A4F">
        <w:rPr>
          <w:rFonts w:ascii="Times New Roman" w:hAnsi="Times New Roman" w:cs="Times New Roman"/>
          <w:i/>
          <w:iCs/>
        </w:rPr>
        <w:t>dir</w:t>
      </w:r>
      <w:r w:rsidR="00B41014" w:rsidRPr="00123A4F">
        <w:rPr>
          <w:rFonts w:ascii="Times New Roman" w:hAnsi="Times New Roman" w:cs="Times New Roman"/>
          <w:i/>
          <w:iCs/>
        </w:rPr>
        <w:t>itto</w:t>
      </w:r>
      <w:r w:rsidRPr="00123A4F">
        <w:rPr>
          <w:rFonts w:ascii="Times New Roman" w:hAnsi="Times New Roman" w:cs="Times New Roman"/>
        </w:rPr>
        <w:t>. L’</w:t>
      </w:r>
      <w:r w:rsidRPr="00123A4F">
        <w:rPr>
          <w:rFonts w:ascii="Times New Roman" w:hAnsi="Times New Roman" w:cs="Times New Roman"/>
          <w:i/>
          <w:iCs/>
        </w:rPr>
        <w:t>erga omnes</w:t>
      </w:r>
      <w:r w:rsidRPr="00123A4F">
        <w:rPr>
          <w:rFonts w:ascii="Times New Roman" w:hAnsi="Times New Roman" w:cs="Times New Roman"/>
        </w:rPr>
        <w:t xml:space="preserve"> non va letto soltanto in senso quantitativo, come applicazione della decisione alla generalità dei consociati; ma anche, qualitativamente, come </w:t>
      </w:r>
      <w:r w:rsidRPr="00123A4F">
        <w:rPr>
          <w:rFonts w:ascii="Times New Roman" w:hAnsi="Times New Roman" w:cs="Times New Roman"/>
          <w:i/>
          <w:iCs/>
        </w:rPr>
        <w:t>extra partes</w:t>
      </w:r>
      <w:r w:rsidRPr="00123A4F">
        <w:rPr>
          <w:rFonts w:ascii="Times New Roman" w:hAnsi="Times New Roman" w:cs="Times New Roman"/>
        </w:rPr>
        <w:t>, cioè come attività di giudizio che non tratta il caso nella sua singolarità, ma lo universalizza e lo riconduce a un archetipo legislativo, in questo modo collocandolo in una cornice più estesa di riferimenti normativi e di vincoli sistemici.</w:t>
      </w:r>
    </w:p>
  </w:footnote>
  <w:footnote w:id="29">
    <w:p w14:paraId="196CD2FF" w14:textId="5E86472A" w:rsidR="00FE5759" w:rsidRPr="00123A4F" w:rsidRDefault="006C367E"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 xml:space="preserve">F. </w:t>
      </w:r>
      <w:r w:rsidR="00FE5759" w:rsidRPr="00123A4F">
        <w:rPr>
          <w:rFonts w:ascii="Times New Roman" w:hAnsi="Times New Roman" w:cs="Times New Roman"/>
          <w:smallCaps/>
        </w:rPr>
        <w:t>Viganò</w:t>
      </w:r>
      <w:r w:rsidR="00FE5759" w:rsidRPr="00123A4F">
        <w:rPr>
          <w:rFonts w:ascii="Times New Roman" w:hAnsi="Times New Roman" w:cs="Times New Roman"/>
        </w:rPr>
        <w:t xml:space="preserve">, </w:t>
      </w:r>
      <w:r w:rsidR="00FE5759" w:rsidRPr="00123A4F">
        <w:rPr>
          <w:rFonts w:ascii="Times New Roman" w:hAnsi="Times New Roman" w:cs="Times New Roman"/>
          <w:i/>
          <w:iCs/>
        </w:rPr>
        <w:t xml:space="preserve">Quel che resta di </w:t>
      </w:r>
      <w:proofErr w:type="spellStart"/>
      <w:r w:rsidR="00FE5759" w:rsidRPr="00123A4F">
        <w:rPr>
          <w:rFonts w:ascii="Times New Roman" w:hAnsi="Times New Roman" w:cs="Times New Roman"/>
          <w:i/>
          <w:iCs/>
        </w:rPr>
        <w:t>Granital</w:t>
      </w:r>
      <w:proofErr w:type="spellEnd"/>
      <w:r w:rsidR="00FE5759" w:rsidRPr="00123A4F">
        <w:rPr>
          <w:rFonts w:ascii="Times New Roman" w:hAnsi="Times New Roman" w:cs="Times New Roman"/>
        </w:rPr>
        <w:t xml:space="preserve">, in </w:t>
      </w:r>
      <w:r w:rsidR="00FE5759" w:rsidRPr="00123A4F">
        <w:rPr>
          <w:rFonts w:ascii="Times New Roman" w:hAnsi="Times New Roman" w:cs="Times New Roman"/>
          <w:i/>
          <w:iCs/>
        </w:rPr>
        <w:t>Giurisprudenza costituzionale</w:t>
      </w:r>
      <w:r w:rsidR="00FE5759" w:rsidRPr="00123A4F">
        <w:rPr>
          <w:rFonts w:ascii="Times New Roman" w:hAnsi="Times New Roman" w:cs="Times New Roman"/>
        </w:rPr>
        <w:t>, 2025, 1, p. 223 ss.</w:t>
      </w:r>
    </w:p>
  </w:footnote>
  <w:footnote w:id="30">
    <w:p w14:paraId="2C2559E3" w14:textId="505FF67D" w:rsidR="002E0DEF" w:rsidRPr="00123A4F" w:rsidRDefault="002E0DEF" w:rsidP="000E39B0">
      <w:pPr>
        <w:spacing w:after="0"/>
        <w:jc w:val="both"/>
        <w:rPr>
          <w:rFonts w:ascii="Times New Roman" w:hAnsi="Times New Roman" w:cs="Times New Roman"/>
          <w:sz w:val="20"/>
          <w:szCs w:val="20"/>
        </w:rPr>
      </w:pPr>
      <w:r w:rsidRPr="00123A4F">
        <w:rPr>
          <w:rStyle w:val="Rimandonotaapidipagina"/>
          <w:rFonts w:ascii="Times New Roman" w:hAnsi="Times New Roman" w:cs="Times New Roman"/>
          <w:sz w:val="20"/>
          <w:szCs w:val="20"/>
        </w:rPr>
        <w:footnoteRef/>
      </w:r>
      <w:r w:rsidRPr="00123A4F">
        <w:rPr>
          <w:rFonts w:ascii="Times New Roman" w:hAnsi="Times New Roman" w:cs="Times New Roman"/>
          <w:sz w:val="20"/>
          <w:szCs w:val="20"/>
        </w:rPr>
        <w:t xml:space="preserve"> </w:t>
      </w:r>
      <w:r w:rsidR="009E4ADD" w:rsidRPr="00123A4F">
        <w:rPr>
          <w:rFonts w:ascii="Times New Roman" w:hAnsi="Times New Roman" w:cs="Times New Roman"/>
          <w:sz w:val="20"/>
          <w:szCs w:val="20"/>
        </w:rPr>
        <w:t xml:space="preserve">Di </w:t>
      </w:r>
      <w:r w:rsidR="009E4ADD" w:rsidRPr="00123A4F">
        <w:rPr>
          <w:rFonts w:ascii="Times New Roman" w:hAnsi="Times New Roman" w:cs="Times New Roman"/>
          <w:i/>
          <w:iCs/>
          <w:sz w:val="20"/>
          <w:szCs w:val="20"/>
        </w:rPr>
        <w:t xml:space="preserve">passive </w:t>
      </w:r>
      <w:proofErr w:type="spellStart"/>
      <w:r w:rsidR="009E4ADD" w:rsidRPr="00123A4F">
        <w:rPr>
          <w:rFonts w:ascii="Times New Roman" w:hAnsi="Times New Roman" w:cs="Times New Roman"/>
          <w:i/>
          <w:iCs/>
          <w:sz w:val="20"/>
          <w:szCs w:val="20"/>
        </w:rPr>
        <w:t>virtues</w:t>
      </w:r>
      <w:proofErr w:type="spellEnd"/>
      <w:r w:rsidR="009E4ADD" w:rsidRPr="00123A4F">
        <w:rPr>
          <w:rFonts w:ascii="Times New Roman" w:hAnsi="Times New Roman" w:cs="Times New Roman"/>
          <w:sz w:val="20"/>
          <w:szCs w:val="20"/>
        </w:rPr>
        <w:t xml:space="preserve"> discorre A.M. B</w:t>
      </w:r>
      <w:r w:rsidR="009E4ADD" w:rsidRPr="00123A4F">
        <w:rPr>
          <w:rFonts w:ascii="Times New Roman" w:hAnsi="Times New Roman" w:cs="Times New Roman"/>
          <w:smallCaps/>
          <w:sz w:val="20"/>
          <w:szCs w:val="20"/>
        </w:rPr>
        <w:t>ickel</w:t>
      </w:r>
      <w:r w:rsidR="009E4ADD" w:rsidRPr="00123A4F">
        <w:rPr>
          <w:rFonts w:ascii="Times New Roman" w:hAnsi="Times New Roman" w:cs="Times New Roman"/>
          <w:sz w:val="20"/>
          <w:szCs w:val="20"/>
        </w:rPr>
        <w:t xml:space="preserve">, </w:t>
      </w:r>
      <w:r w:rsidR="009E4ADD" w:rsidRPr="00123A4F">
        <w:rPr>
          <w:rFonts w:ascii="Times New Roman" w:hAnsi="Times New Roman" w:cs="Times New Roman"/>
          <w:i/>
          <w:iCs/>
          <w:sz w:val="20"/>
          <w:szCs w:val="20"/>
        </w:rPr>
        <w:t xml:space="preserve">The </w:t>
      </w:r>
      <w:proofErr w:type="spellStart"/>
      <w:r w:rsidR="009E4ADD" w:rsidRPr="00123A4F">
        <w:rPr>
          <w:rFonts w:ascii="Times New Roman" w:hAnsi="Times New Roman" w:cs="Times New Roman"/>
          <w:i/>
          <w:iCs/>
          <w:sz w:val="20"/>
          <w:szCs w:val="20"/>
        </w:rPr>
        <w:t>Least</w:t>
      </w:r>
      <w:proofErr w:type="spellEnd"/>
      <w:r w:rsidR="009E4ADD" w:rsidRPr="00123A4F">
        <w:rPr>
          <w:rFonts w:ascii="Times New Roman" w:hAnsi="Times New Roman" w:cs="Times New Roman"/>
          <w:i/>
          <w:iCs/>
          <w:sz w:val="20"/>
          <w:szCs w:val="20"/>
        </w:rPr>
        <w:t xml:space="preserve"> Dangerous Branch</w:t>
      </w:r>
      <w:r w:rsidR="009E4ADD" w:rsidRPr="00123A4F">
        <w:rPr>
          <w:rFonts w:ascii="Times New Roman" w:hAnsi="Times New Roman" w:cs="Times New Roman"/>
          <w:sz w:val="20"/>
          <w:szCs w:val="20"/>
        </w:rPr>
        <w:t>, II ed., New Haven and London, 1986</w:t>
      </w:r>
      <w:r w:rsidR="00CE4881" w:rsidRPr="00123A4F">
        <w:rPr>
          <w:rFonts w:ascii="Times New Roman" w:hAnsi="Times New Roman" w:cs="Times New Roman"/>
          <w:sz w:val="20"/>
          <w:szCs w:val="20"/>
        </w:rPr>
        <w:t>,</w:t>
      </w:r>
      <w:r w:rsidR="009E4ADD" w:rsidRPr="00123A4F">
        <w:rPr>
          <w:rFonts w:ascii="Times New Roman" w:hAnsi="Times New Roman" w:cs="Times New Roman"/>
          <w:sz w:val="20"/>
          <w:szCs w:val="20"/>
        </w:rPr>
        <w:t xml:space="preserve"> p. 111 ss., riferendosi a quelle tecniche di selezione dei casi come la </w:t>
      </w:r>
      <w:proofErr w:type="spellStart"/>
      <w:r w:rsidR="009E4ADD" w:rsidRPr="00123A4F">
        <w:rPr>
          <w:rFonts w:ascii="Times New Roman" w:hAnsi="Times New Roman" w:cs="Times New Roman"/>
          <w:i/>
          <w:iCs/>
          <w:sz w:val="20"/>
          <w:szCs w:val="20"/>
        </w:rPr>
        <w:t>ripeness</w:t>
      </w:r>
      <w:proofErr w:type="spellEnd"/>
      <w:r w:rsidR="009E4ADD" w:rsidRPr="00123A4F">
        <w:rPr>
          <w:rFonts w:ascii="Times New Roman" w:hAnsi="Times New Roman" w:cs="Times New Roman"/>
          <w:sz w:val="20"/>
          <w:szCs w:val="20"/>
        </w:rPr>
        <w:t xml:space="preserve"> o la dottrina delle </w:t>
      </w:r>
      <w:proofErr w:type="spellStart"/>
      <w:r w:rsidR="009E4ADD" w:rsidRPr="00123A4F">
        <w:rPr>
          <w:rFonts w:ascii="Times New Roman" w:hAnsi="Times New Roman" w:cs="Times New Roman"/>
          <w:i/>
          <w:iCs/>
          <w:sz w:val="20"/>
          <w:szCs w:val="20"/>
        </w:rPr>
        <w:t>political</w:t>
      </w:r>
      <w:proofErr w:type="spellEnd"/>
      <w:r w:rsidR="009E4ADD" w:rsidRPr="00123A4F">
        <w:rPr>
          <w:rFonts w:ascii="Times New Roman" w:hAnsi="Times New Roman" w:cs="Times New Roman"/>
          <w:sz w:val="20"/>
          <w:szCs w:val="20"/>
        </w:rPr>
        <w:t xml:space="preserve"> </w:t>
      </w:r>
      <w:proofErr w:type="spellStart"/>
      <w:r w:rsidR="009E4ADD" w:rsidRPr="00123A4F">
        <w:rPr>
          <w:rFonts w:ascii="Times New Roman" w:hAnsi="Times New Roman" w:cs="Times New Roman"/>
          <w:i/>
          <w:iCs/>
          <w:sz w:val="20"/>
          <w:szCs w:val="20"/>
        </w:rPr>
        <w:t>questions</w:t>
      </w:r>
      <w:proofErr w:type="spellEnd"/>
      <w:r w:rsidR="009E4ADD" w:rsidRPr="00123A4F">
        <w:rPr>
          <w:rFonts w:ascii="Times New Roman" w:hAnsi="Times New Roman" w:cs="Times New Roman"/>
          <w:sz w:val="20"/>
          <w:szCs w:val="20"/>
        </w:rPr>
        <w:t xml:space="preserve"> che consentono alla Corte Suprema federale degli Stati Uniti di non decidere (si veda al riguardo l’ampia e documentata monografia di </w:t>
      </w:r>
      <w:r w:rsidR="009E4ADD" w:rsidRPr="00123A4F">
        <w:rPr>
          <w:rFonts w:ascii="Times New Roman" w:hAnsi="Times New Roman" w:cs="Times New Roman"/>
          <w:smallCaps/>
          <w:sz w:val="20"/>
          <w:szCs w:val="20"/>
        </w:rPr>
        <w:t>C. Drigo</w:t>
      </w:r>
      <w:r w:rsidR="009E4ADD" w:rsidRPr="00123A4F">
        <w:rPr>
          <w:rFonts w:ascii="Times New Roman" w:hAnsi="Times New Roman" w:cs="Times New Roman"/>
          <w:sz w:val="20"/>
          <w:szCs w:val="20"/>
        </w:rPr>
        <w:t xml:space="preserve">, </w:t>
      </w:r>
      <w:r w:rsidR="009E4ADD" w:rsidRPr="00123A4F">
        <w:rPr>
          <w:rFonts w:ascii="Times New Roman" w:hAnsi="Times New Roman" w:cs="Times New Roman"/>
          <w:i/>
          <w:iCs/>
          <w:sz w:val="20"/>
          <w:szCs w:val="20"/>
        </w:rPr>
        <w:t xml:space="preserve">Giustizia costituzionale e </w:t>
      </w:r>
      <w:proofErr w:type="spellStart"/>
      <w:r w:rsidR="009E4ADD" w:rsidRPr="00123A4F">
        <w:rPr>
          <w:rFonts w:ascii="Times New Roman" w:hAnsi="Times New Roman" w:cs="Times New Roman"/>
          <w:i/>
          <w:iCs/>
          <w:sz w:val="20"/>
          <w:szCs w:val="20"/>
        </w:rPr>
        <w:t>political</w:t>
      </w:r>
      <w:proofErr w:type="spellEnd"/>
      <w:r w:rsidR="009E4ADD" w:rsidRPr="00123A4F">
        <w:rPr>
          <w:rFonts w:ascii="Times New Roman" w:hAnsi="Times New Roman" w:cs="Times New Roman"/>
          <w:i/>
          <w:iCs/>
          <w:sz w:val="20"/>
          <w:szCs w:val="20"/>
        </w:rPr>
        <w:t xml:space="preserve"> </w:t>
      </w:r>
      <w:proofErr w:type="spellStart"/>
      <w:r w:rsidR="009E4ADD" w:rsidRPr="00123A4F">
        <w:rPr>
          <w:rFonts w:ascii="Times New Roman" w:hAnsi="Times New Roman" w:cs="Times New Roman"/>
          <w:i/>
          <w:iCs/>
          <w:sz w:val="20"/>
          <w:szCs w:val="20"/>
        </w:rPr>
        <w:t>question</w:t>
      </w:r>
      <w:proofErr w:type="spellEnd"/>
      <w:r w:rsidR="009E4ADD" w:rsidRPr="00123A4F">
        <w:rPr>
          <w:rFonts w:ascii="Times New Roman" w:hAnsi="Times New Roman" w:cs="Times New Roman"/>
          <w:i/>
          <w:iCs/>
          <w:sz w:val="20"/>
          <w:szCs w:val="20"/>
        </w:rPr>
        <w:t xml:space="preserve"> </w:t>
      </w:r>
      <w:proofErr w:type="spellStart"/>
      <w:r w:rsidR="009E4ADD" w:rsidRPr="00123A4F">
        <w:rPr>
          <w:rFonts w:ascii="Times New Roman" w:hAnsi="Times New Roman" w:cs="Times New Roman"/>
          <w:i/>
          <w:iCs/>
          <w:sz w:val="20"/>
          <w:szCs w:val="20"/>
        </w:rPr>
        <w:t>doctrine</w:t>
      </w:r>
      <w:proofErr w:type="spellEnd"/>
      <w:r w:rsidR="009E4ADD" w:rsidRPr="00123A4F">
        <w:rPr>
          <w:rFonts w:ascii="Times New Roman" w:hAnsi="Times New Roman" w:cs="Times New Roman"/>
          <w:i/>
          <w:iCs/>
          <w:sz w:val="20"/>
          <w:szCs w:val="20"/>
        </w:rPr>
        <w:t>. Paradigma statunitense e spunti comparatistici</w:t>
      </w:r>
      <w:r w:rsidR="009E4ADD" w:rsidRPr="00123A4F">
        <w:rPr>
          <w:rFonts w:ascii="Times New Roman" w:hAnsi="Times New Roman" w:cs="Times New Roman"/>
          <w:sz w:val="20"/>
          <w:szCs w:val="20"/>
        </w:rPr>
        <w:t xml:space="preserve">, Bologna, 2012). Esse si giustificano come </w:t>
      </w:r>
      <w:proofErr w:type="spellStart"/>
      <w:r w:rsidR="009E4ADD" w:rsidRPr="00123A4F">
        <w:rPr>
          <w:rFonts w:ascii="Times New Roman" w:hAnsi="Times New Roman" w:cs="Times New Roman"/>
          <w:i/>
          <w:iCs/>
          <w:sz w:val="20"/>
          <w:szCs w:val="20"/>
        </w:rPr>
        <w:t>extrema</w:t>
      </w:r>
      <w:proofErr w:type="spellEnd"/>
      <w:r w:rsidR="009E4ADD" w:rsidRPr="00123A4F">
        <w:rPr>
          <w:rFonts w:ascii="Times New Roman" w:hAnsi="Times New Roman" w:cs="Times New Roman"/>
          <w:i/>
          <w:iCs/>
          <w:sz w:val="20"/>
          <w:szCs w:val="20"/>
        </w:rPr>
        <w:t xml:space="preserve"> ratio</w:t>
      </w:r>
      <w:r w:rsidR="009E4ADD" w:rsidRPr="00123A4F">
        <w:rPr>
          <w:rFonts w:ascii="Times New Roman" w:hAnsi="Times New Roman" w:cs="Times New Roman"/>
          <w:sz w:val="20"/>
          <w:szCs w:val="20"/>
        </w:rPr>
        <w:t xml:space="preserve"> nei casi in cui non è possibile decidere enunciando un principio universalizzabile, se non esacerbando lo scontro fra Corte e processo politico e fra le diverse posizioni interne alla Corte. In senso proprio, quindi, secondo Bickel, </w:t>
      </w:r>
      <w:r w:rsidR="00CE4881" w:rsidRPr="00123A4F">
        <w:rPr>
          <w:rFonts w:ascii="Times New Roman" w:hAnsi="Times New Roman" w:cs="Times New Roman"/>
          <w:sz w:val="20"/>
          <w:szCs w:val="20"/>
        </w:rPr>
        <w:t xml:space="preserve">queste tecniche di </w:t>
      </w:r>
      <w:proofErr w:type="spellStart"/>
      <w:r w:rsidR="00CE4881" w:rsidRPr="00123A4F">
        <w:rPr>
          <w:rFonts w:ascii="Times New Roman" w:hAnsi="Times New Roman" w:cs="Times New Roman"/>
          <w:i/>
          <w:iCs/>
          <w:sz w:val="20"/>
          <w:szCs w:val="20"/>
        </w:rPr>
        <w:t>avoidance</w:t>
      </w:r>
      <w:proofErr w:type="spellEnd"/>
      <w:r w:rsidR="00CE4881" w:rsidRPr="00123A4F">
        <w:rPr>
          <w:rFonts w:ascii="Times New Roman" w:hAnsi="Times New Roman" w:cs="Times New Roman"/>
          <w:sz w:val="20"/>
          <w:szCs w:val="20"/>
        </w:rPr>
        <w:t xml:space="preserve"> </w:t>
      </w:r>
      <w:r w:rsidR="009E4ADD" w:rsidRPr="00123A4F">
        <w:rPr>
          <w:rFonts w:ascii="Times New Roman" w:hAnsi="Times New Roman" w:cs="Times New Roman"/>
          <w:sz w:val="20"/>
          <w:szCs w:val="20"/>
        </w:rPr>
        <w:t xml:space="preserve">non danno luogo a </w:t>
      </w:r>
      <w:r w:rsidR="009E4ADD" w:rsidRPr="00123A4F">
        <w:rPr>
          <w:rFonts w:ascii="Times New Roman" w:hAnsi="Times New Roman" w:cs="Times New Roman"/>
          <w:i/>
          <w:iCs/>
          <w:sz w:val="20"/>
          <w:szCs w:val="20"/>
        </w:rPr>
        <w:t>decisioni</w:t>
      </w:r>
      <w:r w:rsidR="009E4ADD" w:rsidRPr="00123A4F">
        <w:rPr>
          <w:rFonts w:ascii="Times New Roman" w:hAnsi="Times New Roman" w:cs="Times New Roman"/>
          <w:sz w:val="20"/>
          <w:szCs w:val="20"/>
        </w:rPr>
        <w:t xml:space="preserve"> costituzionali: «</w:t>
      </w:r>
      <w:r w:rsidR="009E4ADD" w:rsidRPr="00123A4F">
        <w:rPr>
          <w:rFonts w:ascii="Times New Roman" w:hAnsi="Times New Roman" w:cs="Times New Roman"/>
          <w:i/>
          <w:iCs/>
          <w:sz w:val="20"/>
          <w:szCs w:val="20"/>
        </w:rPr>
        <w:t xml:space="preserve">They do </w:t>
      </w:r>
      <w:proofErr w:type="spellStart"/>
      <w:r w:rsidR="009E4ADD" w:rsidRPr="00123A4F">
        <w:rPr>
          <w:rFonts w:ascii="Times New Roman" w:hAnsi="Times New Roman" w:cs="Times New Roman"/>
          <w:i/>
          <w:iCs/>
          <w:sz w:val="20"/>
          <w:szCs w:val="20"/>
        </w:rPr>
        <w:t>not</w:t>
      </w:r>
      <w:proofErr w:type="spellEnd"/>
      <w:r w:rsidR="009E4ADD" w:rsidRPr="00123A4F">
        <w:rPr>
          <w:rFonts w:ascii="Times New Roman" w:hAnsi="Times New Roman" w:cs="Times New Roman"/>
          <w:i/>
          <w:iCs/>
          <w:sz w:val="20"/>
          <w:szCs w:val="20"/>
        </w:rPr>
        <w:t xml:space="preserve"> check or </w:t>
      </w:r>
      <w:proofErr w:type="spellStart"/>
      <w:r w:rsidR="009E4ADD" w:rsidRPr="00123A4F">
        <w:rPr>
          <w:rFonts w:ascii="Times New Roman" w:hAnsi="Times New Roman" w:cs="Times New Roman"/>
          <w:i/>
          <w:iCs/>
          <w:sz w:val="20"/>
          <w:szCs w:val="20"/>
        </w:rPr>
        <w:t>legitimate</w:t>
      </w:r>
      <w:proofErr w:type="spellEnd"/>
      <w:r w:rsidR="009E4ADD" w:rsidRPr="00123A4F">
        <w:rPr>
          <w:rFonts w:ascii="Times New Roman" w:hAnsi="Times New Roman" w:cs="Times New Roman"/>
          <w:i/>
          <w:iCs/>
          <w:sz w:val="20"/>
          <w:szCs w:val="20"/>
        </w:rPr>
        <w:t xml:space="preserve"> on </w:t>
      </w:r>
      <w:proofErr w:type="spellStart"/>
      <w:r w:rsidR="009E4ADD" w:rsidRPr="00123A4F">
        <w:rPr>
          <w:rFonts w:ascii="Times New Roman" w:hAnsi="Times New Roman" w:cs="Times New Roman"/>
          <w:i/>
          <w:iCs/>
          <w:sz w:val="20"/>
          <w:szCs w:val="20"/>
        </w:rPr>
        <w:t>principle</w:t>
      </w:r>
      <w:proofErr w:type="spellEnd"/>
      <w:r w:rsidR="009E4ADD" w:rsidRPr="00123A4F">
        <w:rPr>
          <w:rFonts w:ascii="Times New Roman" w:hAnsi="Times New Roman" w:cs="Times New Roman"/>
          <w:i/>
          <w:iCs/>
          <w:sz w:val="20"/>
          <w:szCs w:val="20"/>
        </w:rPr>
        <w:t xml:space="preserve">. </w:t>
      </w:r>
      <w:r w:rsidR="009E4ADD" w:rsidRPr="00123A4F">
        <w:rPr>
          <w:rFonts w:ascii="Times New Roman" w:hAnsi="Times New Roman" w:cs="Times New Roman"/>
          <w:i/>
          <w:iCs/>
          <w:sz w:val="20"/>
          <w:szCs w:val="20"/>
          <w:lang w:val="en-US"/>
        </w:rPr>
        <w:t>They are not themselves principled, they do not operate independently, and the variables that render them decisive cannot be contained in any principle</w:t>
      </w:r>
      <w:r w:rsidR="009E4ADD" w:rsidRPr="00123A4F">
        <w:rPr>
          <w:rFonts w:ascii="Times New Roman" w:hAnsi="Times New Roman" w:cs="Times New Roman"/>
          <w:sz w:val="20"/>
          <w:szCs w:val="20"/>
          <w:lang w:val="en-US"/>
        </w:rPr>
        <w:t xml:space="preserve">» (p. 205). </w:t>
      </w:r>
      <w:r w:rsidR="009E4ADD" w:rsidRPr="00123A4F">
        <w:rPr>
          <w:rFonts w:ascii="Times New Roman" w:hAnsi="Times New Roman" w:cs="Times New Roman"/>
          <w:sz w:val="20"/>
          <w:szCs w:val="20"/>
        </w:rPr>
        <w:t xml:space="preserve">E tuttavia, anche le virtù passive esercitano una funzione di stimolo sul processo legislativo, attivano un circuito comunicativo che coinvolge la Corte e il legislatore nel comune sviluppo di una linea di mediazione tra l’assolutezza dei principi costituzionali e le </w:t>
      </w:r>
      <w:r w:rsidR="00CE4881" w:rsidRPr="00123A4F">
        <w:rPr>
          <w:rFonts w:ascii="Times New Roman" w:hAnsi="Times New Roman" w:cs="Times New Roman"/>
          <w:sz w:val="20"/>
          <w:szCs w:val="20"/>
        </w:rPr>
        <w:t xml:space="preserve">esigenze </w:t>
      </w:r>
      <w:r w:rsidR="004554AC" w:rsidRPr="00123A4F">
        <w:rPr>
          <w:rFonts w:ascii="Times New Roman" w:hAnsi="Times New Roman" w:cs="Times New Roman"/>
          <w:sz w:val="20"/>
          <w:szCs w:val="20"/>
        </w:rPr>
        <w:t xml:space="preserve">regolative </w:t>
      </w:r>
      <w:r w:rsidR="009E4ADD" w:rsidRPr="00123A4F">
        <w:rPr>
          <w:rFonts w:ascii="Times New Roman" w:hAnsi="Times New Roman" w:cs="Times New Roman"/>
          <w:sz w:val="20"/>
          <w:szCs w:val="20"/>
        </w:rPr>
        <w:t>de</w:t>
      </w:r>
      <w:r w:rsidR="00CE4881" w:rsidRPr="00123A4F">
        <w:rPr>
          <w:rFonts w:ascii="Times New Roman" w:hAnsi="Times New Roman" w:cs="Times New Roman"/>
          <w:sz w:val="20"/>
          <w:szCs w:val="20"/>
        </w:rPr>
        <w:t xml:space="preserve">i </w:t>
      </w:r>
      <w:r w:rsidR="009E4ADD" w:rsidRPr="00123A4F">
        <w:rPr>
          <w:rFonts w:ascii="Times New Roman" w:hAnsi="Times New Roman" w:cs="Times New Roman"/>
          <w:sz w:val="20"/>
          <w:szCs w:val="20"/>
        </w:rPr>
        <w:t>cas</w:t>
      </w:r>
      <w:r w:rsidR="00CE4881" w:rsidRPr="00123A4F">
        <w:rPr>
          <w:rFonts w:ascii="Times New Roman" w:hAnsi="Times New Roman" w:cs="Times New Roman"/>
          <w:sz w:val="20"/>
          <w:szCs w:val="20"/>
        </w:rPr>
        <w:t>i</w:t>
      </w:r>
      <w:r w:rsidR="009E4ADD" w:rsidRPr="00123A4F">
        <w:rPr>
          <w:rFonts w:ascii="Times New Roman" w:hAnsi="Times New Roman" w:cs="Times New Roman"/>
          <w:sz w:val="20"/>
          <w:szCs w:val="20"/>
        </w:rPr>
        <w:t>. Nel mentre la Corte riconosce l’impossibilità – nel caso all’esame – di imporre la cogenza di un principio costituzionale con gli effetti di una dichiarazione di incostituzionalità, riafferma</w:t>
      </w:r>
      <w:r w:rsidR="00CE4881" w:rsidRPr="00123A4F">
        <w:rPr>
          <w:rFonts w:ascii="Times New Roman" w:hAnsi="Times New Roman" w:cs="Times New Roman"/>
          <w:sz w:val="20"/>
          <w:szCs w:val="20"/>
        </w:rPr>
        <w:t xml:space="preserve">, infatti, </w:t>
      </w:r>
      <w:r w:rsidR="009E4ADD" w:rsidRPr="00123A4F">
        <w:rPr>
          <w:rFonts w:ascii="Times New Roman" w:hAnsi="Times New Roman" w:cs="Times New Roman"/>
          <w:sz w:val="20"/>
          <w:szCs w:val="20"/>
        </w:rPr>
        <w:t xml:space="preserve">quel medesimo principio come direttiva di azione futura per il legislatore. Non è sempre vero, dunque, che le </w:t>
      </w:r>
      <w:r w:rsidR="009E4ADD" w:rsidRPr="00123A4F">
        <w:rPr>
          <w:rFonts w:ascii="Times New Roman" w:hAnsi="Times New Roman" w:cs="Times New Roman"/>
          <w:i/>
          <w:iCs/>
          <w:sz w:val="20"/>
          <w:szCs w:val="20"/>
        </w:rPr>
        <w:t xml:space="preserve">passive </w:t>
      </w:r>
      <w:proofErr w:type="spellStart"/>
      <w:r w:rsidR="009E4ADD" w:rsidRPr="00123A4F">
        <w:rPr>
          <w:rFonts w:ascii="Times New Roman" w:hAnsi="Times New Roman" w:cs="Times New Roman"/>
          <w:i/>
          <w:iCs/>
          <w:sz w:val="20"/>
          <w:szCs w:val="20"/>
        </w:rPr>
        <w:t>virtues</w:t>
      </w:r>
      <w:proofErr w:type="spellEnd"/>
      <w:r w:rsidR="009E4ADD" w:rsidRPr="00123A4F">
        <w:rPr>
          <w:rFonts w:ascii="Times New Roman" w:hAnsi="Times New Roman" w:cs="Times New Roman"/>
          <w:sz w:val="20"/>
          <w:szCs w:val="20"/>
        </w:rPr>
        <w:t xml:space="preserve">, non irradiando la forza cogente di un principio costituzionale, hanno sul processo politico effetti meno rilevanti delle </w:t>
      </w:r>
      <w:r w:rsidR="009E4ADD" w:rsidRPr="00123A4F">
        <w:rPr>
          <w:rFonts w:ascii="Times New Roman" w:hAnsi="Times New Roman" w:cs="Times New Roman"/>
          <w:i/>
          <w:iCs/>
          <w:sz w:val="20"/>
          <w:szCs w:val="20"/>
        </w:rPr>
        <w:t>decisioni</w:t>
      </w:r>
      <w:r w:rsidR="009E4ADD" w:rsidRPr="00123A4F">
        <w:rPr>
          <w:rFonts w:ascii="Times New Roman" w:hAnsi="Times New Roman" w:cs="Times New Roman"/>
          <w:sz w:val="20"/>
          <w:szCs w:val="20"/>
        </w:rPr>
        <w:t xml:space="preserve"> costituzionali in senso proprio.</w:t>
      </w:r>
    </w:p>
  </w:footnote>
  <w:footnote w:id="31">
    <w:p w14:paraId="01D8EE6E" w14:textId="3F797B69" w:rsidR="00B41014" w:rsidRPr="00123A4F" w:rsidRDefault="00D6334D" w:rsidP="0052014F">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 xml:space="preserve">Il pericolo è evocato da </w:t>
      </w:r>
      <w:r w:rsidR="00FE5759" w:rsidRPr="00123A4F">
        <w:rPr>
          <w:rFonts w:ascii="Times New Roman" w:hAnsi="Times New Roman" w:cs="Times New Roman"/>
          <w:smallCaps/>
        </w:rPr>
        <w:t>R. Mastroianni</w:t>
      </w:r>
      <w:r w:rsidR="00FE5759" w:rsidRPr="00123A4F">
        <w:rPr>
          <w:rFonts w:ascii="Times New Roman" w:hAnsi="Times New Roman" w:cs="Times New Roman"/>
        </w:rPr>
        <w:t xml:space="preserve">, </w:t>
      </w:r>
      <w:r w:rsidR="00FE5759" w:rsidRPr="00123A4F">
        <w:rPr>
          <w:rFonts w:ascii="Times New Roman" w:hAnsi="Times New Roman" w:cs="Times New Roman"/>
          <w:i/>
          <w:iCs/>
        </w:rPr>
        <w:t>La sentenza della Corte costituzionale n. 181 del 2024 in tema di rapporti tra ordinamenti, ovvero la scomparsa dell’articolo 11 della Costituzione</w:t>
      </w:r>
      <w:r w:rsidR="00FE5759" w:rsidRPr="00123A4F">
        <w:rPr>
          <w:rFonts w:ascii="Times New Roman" w:hAnsi="Times New Roman" w:cs="Times New Roman"/>
        </w:rPr>
        <w:t xml:space="preserve">, in </w:t>
      </w:r>
      <w:r w:rsidR="00FE5759" w:rsidRPr="00123A4F">
        <w:rPr>
          <w:rFonts w:ascii="Times New Roman" w:hAnsi="Times New Roman" w:cs="Times New Roman"/>
          <w:i/>
          <w:iCs/>
        </w:rPr>
        <w:t>Quaderni AISDUE</w:t>
      </w:r>
      <w:r w:rsidR="00FE5759" w:rsidRPr="00123A4F">
        <w:rPr>
          <w:rFonts w:ascii="Times New Roman" w:hAnsi="Times New Roman" w:cs="Times New Roman"/>
        </w:rPr>
        <w:t>, 2025, 1, p. 3.</w:t>
      </w:r>
      <w:r w:rsidR="00A57426" w:rsidRPr="00123A4F">
        <w:rPr>
          <w:rFonts w:ascii="Times New Roman" w:hAnsi="Times New Roman" w:cs="Times New Roman"/>
        </w:rPr>
        <w:t xml:space="preserve"> </w:t>
      </w:r>
      <w:r w:rsidR="00B41014" w:rsidRPr="00123A4F">
        <w:rPr>
          <w:rFonts w:ascii="Times New Roman" w:hAnsi="Times New Roman" w:cs="Times New Roman"/>
        </w:rPr>
        <w:t xml:space="preserve">Nella stessa direzione v. almeno </w:t>
      </w:r>
      <w:r w:rsidR="00B41014" w:rsidRPr="00123A4F">
        <w:rPr>
          <w:rFonts w:ascii="Times New Roman" w:hAnsi="Times New Roman" w:cs="Times New Roman"/>
          <w:smallCaps/>
        </w:rPr>
        <w:t>A. Ruggeri</w:t>
      </w:r>
      <w:r w:rsidR="00B41014" w:rsidRPr="00123A4F">
        <w:rPr>
          <w:rFonts w:ascii="Times New Roman" w:hAnsi="Times New Roman" w:cs="Times New Roman"/>
        </w:rPr>
        <w:t xml:space="preserve">, </w:t>
      </w:r>
      <w:r w:rsidR="00B41014" w:rsidRPr="00123A4F">
        <w:rPr>
          <w:rFonts w:ascii="Times New Roman" w:hAnsi="Times New Roman" w:cs="Times New Roman"/>
          <w:i/>
          <w:iCs/>
        </w:rPr>
        <w:t>La doppia pregiudizialità torna ancora una volta alla Consulta, in attesa di successive messe a punto (a prima lettura di Corte cost. n. 181 del 2024)</w:t>
      </w:r>
      <w:r w:rsidR="00B41014" w:rsidRPr="00123A4F">
        <w:rPr>
          <w:rFonts w:ascii="Times New Roman" w:hAnsi="Times New Roman" w:cs="Times New Roman"/>
        </w:rPr>
        <w:t xml:space="preserve">, in </w:t>
      </w:r>
      <w:r w:rsidR="00B41014" w:rsidRPr="00123A4F">
        <w:rPr>
          <w:rFonts w:ascii="Times New Roman" w:hAnsi="Times New Roman" w:cs="Times New Roman"/>
          <w:i/>
          <w:iCs/>
        </w:rPr>
        <w:t>Consulta online</w:t>
      </w:r>
      <w:r w:rsidR="00B41014" w:rsidRPr="00123A4F">
        <w:rPr>
          <w:rFonts w:ascii="Times New Roman" w:hAnsi="Times New Roman" w:cs="Times New Roman"/>
        </w:rPr>
        <w:t xml:space="preserve">, 2024, p. 1346 ss.; </w:t>
      </w:r>
      <w:r w:rsidR="00B41014" w:rsidRPr="00123A4F">
        <w:rPr>
          <w:rFonts w:ascii="Times New Roman" w:hAnsi="Times New Roman" w:cs="Times New Roman"/>
          <w:smallCaps/>
        </w:rPr>
        <w:t>L. Daniele</w:t>
      </w:r>
      <w:r w:rsidR="00B41014" w:rsidRPr="00123A4F">
        <w:rPr>
          <w:rFonts w:ascii="Times New Roman" w:hAnsi="Times New Roman" w:cs="Times New Roman"/>
        </w:rPr>
        <w:t xml:space="preserve">, </w:t>
      </w:r>
      <w:r w:rsidR="00B41014" w:rsidRPr="00123A4F">
        <w:rPr>
          <w:rFonts w:ascii="Times New Roman" w:hAnsi="Times New Roman" w:cs="Times New Roman"/>
          <w:i/>
          <w:iCs/>
        </w:rPr>
        <w:t>Norma di legge incompatibile con norma dell’Unione direttamente efficace, tra disapplicazione e dichiarazione di incostituzionalità: una storia “vecchia” di quarant’anni…</w:t>
      </w:r>
      <w:r w:rsidR="00B41014" w:rsidRPr="00123A4F">
        <w:rPr>
          <w:rFonts w:ascii="Times New Roman" w:hAnsi="Times New Roman" w:cs="Times New Roman"/>
        </w:rPr>
        <w:t xml:space="preserve">, in </w:t>
      </w:r>
      <w:r w:rsidR="00B41014" w:rsidRPr="00123A4F">
        <w:rPr>
          <w:rFonts w:ascii="Times New Roman" w:hAnsi="Times New Roman" w:cs="Times New Roman"/>
          <w:smallCaps/>
        </w:rPr>
        <w:t>V. Capuano – C. Schepisi</w:t>
      </w:r>
      <w:r w:rsidR="00B41014" w:rsidRPr="00123A4F">
        <w:rPr>
          <w:rFonts w:ascii="Times New Roman" w:hAnsi="Times New Roman" w:cs="Times New Roman"/>
        </w:rPr>
        <w:t xml:space="preserve"> (a cura di), </w:t>
      </w:r>
      <w:r w:rsidR="00B41014" w:rsidRPr="00123A4F">
        <w:rPr>
          <w:rFonts w:ascii="Times New Roman" w:hAnsi="Times New Roman" w:cs="Times New Roman"/>
          <w:i/>
          <w:iCs/>
        </w:rPr>
        <w:t>Primato del</w:t>
      </w:r>
      <w:r w:rsidR="00B41014" w:rsidRPr="00123A4F">
        <w:rPr>
          <w:rFonts w:ascii="Times New Roman" w:hAnsi="Times New Roman" w:cs="Times New Roman"/>
        </w:rPr>
        <w:t xml:space="preserve"> </w:t>
      </w:r>
      <w:r w:rsidR="00B41014" w:rsidRPr="00123A4F">
        <w:rPr>
          <w:rFonts w:ascii="Times New Roman" w:hAnsi="Times New Roman" w:cs="Times New Roman"/>
          <w:i/>
          <w:iCs/>
        </w:rPr>
        <w:t>diritto dell’Unione europea,</w:t>
      </w:r>
      <w:r w:rsidR="00AE21F7" w:rsidRPr="00123A4F">
        <w:rPr>
          <w:rFonts w:ascii="Times New Roman" w:hAnsi="Times New Roman" w:cs="Times New Roman"/>
          <w:i/>
          <w:iCs/>
        </w:rPr>
        <w:t xml:space="preserve"> </w:t>
      </w:r>
      <w:r w:rsidR="00B41014" w:rsidRPr="00123A4F">
        <w:rPr>
          <w:rFonts w:ascii="Times New Roman" w:hAnsi="Times New Roman" w:cs="Times New Roman"/>
          <w:i/>
          <w:iCs/>
        </w:rPr>
        <w:t xml:space="preserve">giudice nazionale e dialogo con le Corti: quali nuovi </w:t>
      </w:r>
      <w:proofErr w:type="gramStart"/>
      <w:r w:rsidR="00B41014" w:rsidRPr="00123A4F">
        <w:rPr>
          <w:rFonts w:ascii="Times New Roman" w:hAnsi="Times New Roman" w:cs="Times New Roman"/>
          <w:i/>
          <w:iCs/>
        </w:rPr>
        <w:t>equilibri?,</w:t>
      </w:r>
      <w:proofErr w:type="gramEnd"/>
      <w:r w:rsidR="00B41014" w:rsidRPr="00123A4F">
        <w:rPr>
          <w:rFonts w:ascii="Times New Roman" w:hAnsi="Times New Roman" w:cs="Times New Roman"/>
          <w:i/>
          <w:iCs/>
        </w:rPr>
        <w:t xml:space="preserve"> Rivista Eurojus.it</w:t>
      </w:r>
      <w:r w:rsidR="00B41014" w:rsidRPr="00123A4F">
        <w:rPr>
          <w:rFonts w:ascii="Times New Roman" w:hAnsi="Times New Roman" w:cs="Times New Roman"/>
        </w:rPr>
        <w:t>, 2025, fasc. spec., p</w:t>
      </w:r>
      <w:r w:rsidR="00DD5E5C" w:rsidRPr="00123A4F">
        <w:rPr>
          <w:rFonts w:ascii="Times New Roman" w:hAnsi="Times New Roman" w:cs="Times New Roman"/>
        </w:rPr>
        <w:t>.</w:t>
      </w:r>
      <w:r w:rsidR="00B41014" w:rsidRPr="00123A4F">
        <w:rPr>
          <w:rFonts w:ascii="Times New Roman" w:hAnsi="Times New Roman" w:cs="Times New Roman"/>
        </w:rPr>
        <w:t xml:space="preserve"> 134 ss.; </w:t>
      </w:r>
      <w:r w:rsidR="00B41014" w:rsidRPr="00123A4F">
        <w:rPr>
          <w:rFonts w:ascii="Times New Roman" w:hAnsi="Times New Roman" w:cs="Times New Roman"/>
          <w:smallCaps/>
        </w:rPr>
        <w:t>C. Amalfitano</w:t>
      </w:r>
      <w:r w:rsidR="00B41014" w:rsidRPr="00123A4F">
        <w:rPr>
          <w:rFonts w:ascii="Times New Roman" w:hAnsi="Times New Roman" w:cs="Times New Roman"/>
        </w:rPr>
        <w:t xml:space="preserve">, </w:t>
      </w:r>
      <w:r w:rsidR="00B41014" w:rsidRPr="00123A4F">
        <w:rPr>
          <w:rFonts w:ascii="Times New Roman" w:hAnsi="Times New Roman" w:cs="Times New Roman"/>
          <w:i/>
          <w:iCs/>
        </w:rPr>
        <w:t xml:space="preserve">Tanto tuonò che piovve. Abbandonare </w:t>
      </w:r>
      <w:proofErr w:type="spellStart"/>
      <w:r w:rsidR="00B41014" w:rsidRPr="00123A4F">
        <w:rPr>
          <w:rFonts w:ascii="Times New Roman" w:hAnsi="Times New Roman" w:cs="Times New Roman"/>
          <w:i/>
          <w:iCs/>
        </w:rPr>
        <w:t>Granital</w:t>
      </w:r>
      <w:proofErr w:type="spellEnd"/>
      <w:r w:rsidR="00B41014" w:rsidRPr="00123A4F">
        <w:rPr>
          <w:rFonts w:ascii="Times New Roman" w:hAnsi="Times New Roman" w:cs="Times New Roman"/>
          <w:i/>
          <w:iCs/>
        </w:rPr>
        <w:t xml:space="preserve">: cui </w:t>
      </w:r>
      <w:proofErr w:type="spellStart"/>
      <w:proofErr w:type="gramStart"/>
      <w:r w:rsidR="00B41014" w:rsidRPr="00123A4F">
        <w:rPr>
          <w:rFonts w:ascii="Times New Roman" w:hAnsi="Times New Roman" w:cs="Times New Roman"/>
          <w:i/>
          <w:iCs/>
        </w:rPr>
        <w:t>prodest</w:t>
      </w:r>
      <w:proofErr w:type="spellEnd"/>
      <w:r w:rsidR="00B41014" w:rsidRPr="00123A4F">
        <w:rPr>
          <w:rFonts w:ascii="Times New Roman" w:hAnsi="Times New Roman" w:cs="Times New Roman"/>
          <w:i/>
          <w:iCs/>
        </w:rPr>
        <w:t>?,</w:t>
      </w:r>
      <w:proofErr w:type="gramEnd"/>
      <w:r w:rsidR="00B41014" w:rsidRPr="00123A4F">
        <w:rPr>
          <w:rFonts w:ascii="Times New Roman" w:hAnsi="Times New Roman" w:cs="Times New Roman"/>
        </w:rPr>
        <w:t xml:space="preserve"> in </w:t>
      </w:r>
      <w:r w:rsidR="00B41014" w:rsidRPr="00123A4F">
        <w:rPr>
          <w:rFonts w:ascii="Times New Roman" w:hAnsi="Times New Roman" w:cs="Times New Roman"/>
          <w:i/>
          <w:iCs/>
        </w:rPr>
        <w:t>Giurisprudenza costituzionale</w:t>
      </w:r>
      <w:r w:rsidR="00B41014" w:rsidRPr="00123A4F">
        <w:rPr>
          <w:rFonts w:ascii="Times New Roman" w:hAnsi="Times New Roman" w:cs="Times New Roman"/>
        </w:rPr>
        <w:t xml:space="preserve">, 2024, 6, p. 2636 ss. e </w:t>
      </w:r>
      <w:r w:rsidR="00B41014" w:rsidRPr="00123A4F">
        <w:rPr>
          <w:rFonts w:ascii="Times New Roman" w:hAnsi="Times New Roman" w:cs="Times New Roman"/>
          <w:smallCaps/>
        </w:rPr>
        <w:t>F. Ferraro</w:t>
      </w:r>
      <w:r w:rsidR="00B41014" w:rsidRPr="00123A4F">
        <w:rPr>
          <w:rFonts w:ascii="Times New Roman" w:hAnsi="Times New Roman" w:cs="Times New Roman"/>
        </w:rPr>
        <w:t xml:space="preserve">, </w:t>
      </w:r>
      <w:r w:rsidR="00B41014" w:rsidRPr="00123A4F">
        <w:rPr>
          <w:rFonts w:ascii="Times New Roman" w:hAnsi="Times New Roman" w:cs="Times New Roman"/>
          <w:i/>
          <w:iCs/>
        </w:rPr>
        <w:t>La Consulta si affida al “tono costituzionale” per estendere il suo controllo (anche) sulle norme dell’Unione provviste di effetto diretto</w:t>
      </w:r>
      <w:r w:rsidR="00B41014" w:rsidRPr="00123A4F">
        <w:rPr>
          <w:rFonts w:ascii="Times New Roman" w:hAnsi="Times New Roman" w:cs="Times New Roman"/>
        </w:rPr>
        <w:t xml:space="preserve">, in </w:t>
      </w:r>
      <w:r w:rsidR="00B41014" w:rsidRPr="00123A4F">
        <w:rPr>
          <w:rFonts w:ascii="Times New Roman" w:hAnsi="Times New Roman" w:cs="Times New Roman"/>
          <w:i/>
          <w:iCs/>
        </w:rPr>
        <w:t xml:space="preserve">Rivista </w:t>
      </w:r>
      <w:proofErr w:type="spellStart"/>
      <w:r w:rsidR="00B41014" w:rsidRPr="00123A4F">
        <w:rPr>
          <w:rFonts w:ascii="Times New Roman" w:hAnsi="Times New Roman" w:cs="Times New Roman"/>
          <w:i/>
          <w:iCs/>
        </w:rPr>
        <w:t>Eurojus</w:t>
      </w:r>
      <w:proofErr w:type="spellEnd"/>
      <w:r w:rsidR="00B41014" w:rsidRPr="00123A4F">
        <w:rPr>
          <w:rFonts w:ascii="Times New Roman" w:hAnsi="Times New Roman" w:cs="Times New Roman"/>
        </w:rPr>
        <w:t>, 2024, 4, p. 160 ss.</w:t>
      </w:r>
    </w:p>
  </w:footnote>
  <w:footnote w:id="32">
    <w:p w14:paraId="6A9AAC00" w14:textId="2F5A2D57" w:rsidR="00B41014" w:rsidRPr="00123A4F" w:rsidRDefault="00B41014" w:rsidP="00B563F8">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0E39B0" w:rsidRPr="00123A4F">
        <w:rPr>
          <w:rFonts w:ascii="Times New Roman" w:hAnsi="Times New Roman" w:cs="Times New Roman"/>
        </w:rPr>
        <w:t xml:space="preserve">Si pensi, a mero titolo esemplificativo, a Cass. civ., sez. </w:t>
      </w:r>
      <w:proofErr w:type="spellStart"/>
      <w:r w:rsidR="000E39B0" w:rsidRPr="00123A4F">
        <w:rPr>
          <w:rFonts w:ascii="Times New Roman" w:hAnsi="Times New Roman" w:cs="Times New Roman"/>
        </w:rPr>
        <w:t>trib</w:t>
      </w:r>
      <w:proofErr w:type="spellEnd"/>
      <w:r w:rsidR="000E39B0" w:rsidRPr="00123A4F">
        <w:rPr>
          <w:rFonts w:ascii="Times New Roman" w:hAnsi="Times New Roman" w:cs="Times New Roman"/>
        </w:rPr>
        <w:t xml:space="preserve">., sentenza 18 dicembre 2024, n. 33021, ove la possibilità di sollevare la questione di legittimità costituzionale viene riferita alla sola ipotesi di contrasto con una norma comunitaria priva di efficacia diretta, trascurando la novità segnata dalla sentenza n. 181; o a Cons. Stato, sez. V, sentenza 25 agosto 2025, n. 7102, ove, nel quadro di una ricostruzione dei rapporti fra ordinamenti, si menziona la sentenza </w:t>
      </w:r>
      <w:proofErr w:type="spellStart"/>
      <w:r w:rsidR="000E39B0" w:rsidRPr="00123A4F">
        <w:rPr>
          <w:rFonts w:ascii="Times New Roman" w:hAnsi="Times New Roman" w:cs="Times New Roman"/>
        </w:rPr>
        <w:t>Granital</w:t>
      </w:r>
      <w:proofErr w:type="spellEnd"/>
      <w:r w:rsidR="000E39B0" w:rsidRPr="00123A4F">
        <w:rPr>
          <w:rFonts w:ascii="Times New Roman" w:hAnsi="Times New Roman" w:cs="Times New Roman"/>
        </w:rPr>
        <w:t xml:space="preserve">, ma non la 181. Per una prima ricognizione delle prassi interpretative successive alla sentenza n. 181 si rinvia a </w:t>
      </w:r>
      <w:proofErr w:type="spellStart"/>
      <w:r w:rsidR="000E39B0" w:rsidRPr="00123A4F">
        <w:rPr>
          <w:rFonts w:ascii="Times New Roman" w:hAnsi="Times New Roman" w:cs="Times New Roman"/>
          <w:smallCaps/>
        </w:rPr>
        <w:t>A</w:t>
      </w:r>
      <w:proofErr w:type="spellEnd"/>
      <w:r w:rsidR="000E39B0" w:rsidRPr="00123A4F">
        <w:rPr>
          <w:rFonts w:ascii="Times New Roman" w:hAnsi="Times New Roman" w:cs="Times New Roman"/>
          <w:smallCaps/>
        </w:rPr>
        <w:t>. Chiappetta</w:t>
      </w:r>
      <w:r w:rsidR="000E39B0" w:rsidRPr="00123A4F">
        <w:rPr>
          <w:rFonts w:ascii="Times New Roman" w:hAnsi="Times New Roman" w:cs="Times New Roman"/>
        </w:rPr>
        <w:t xml:space="preserve">, </w:t>
      </w:r>
      <w:r w:rsidR="000E39B0" w:rsidRPr="00123A4F">
        <w:rPr>
          <w:rFonts w:ascii="Times New Roman" w:hAnsi="Times New Roman" w:cs="Times New Roman"/>
          <w:i/>
          <w:iCs/>
        </w:rPr>
        <w:t>Sindacato accentrato e diritto dell’Unione europea</w:t>
      </w:r>
      <w:r w:rsidR="000E39B0" w:rsidRPr="00123A4F">
        <w:rPr>
          <w:rFonts w:ascii="Times New Roman" w:hAnsi="Times New Roman" w:cs="Times New Roman"/>
        </w:rPr>
        <w:t>, op. cit., p. 257 ss.</w:t>
      </w:r>
    </w:p>
  </w:footnote>
  <w:footnote w:id="33">
    <w:p w14:paraId="5B7CCD13" w14:textId="0F3DBDD1" w:rsidR="00656439" w:rsidRPr="00123A4F" w:rsidRDefault="00656439"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0E39B0" w:rsidRPr="00123A4F">
        <w:rPr>
          <w:rFonts w:ascii="Times New Roman" w:hAnsi="Times New Roman" w:cs="Times New Roman"/>
        </w:rPr>
        <w:t xml:space="preserve">Il riferimento è all’ordinanza di rimessione </w:t>
      </w:r>
      <w:r w:rsidRPr="00123A4F">
        <w:rPr>
          <w:rFonts w:ascii="Times New Roman" w:hAnsi="Times New Roman" w:cs="Times New Roman"/>
        </w:rPr>
        <w:t xml:space="preserve">del Trib. Torino, Sez. Spec. </w:t>
      </w:r>
      <w:proofErr w:type="spellStart"/>
      <w:r w:rsidRPr="00123A4F">
        <w:rPr>
          <w:rFonts w:ascii="Times New Roman" w:hAnsi="Times New Roman" w:cs="Times New Roman"/>
        </w:rPr>
        <w:t>Immigr</w:t>
      </w:r>
      <w:proofErr w:type="spellEnd"/>
      <w:r w:rsidRPr="00123A4F">
        <w:rPr>
          <w:rFonts w:ascii="Times New Roman" w:hAnsi="Times New Roman" w:cs="Times New Roman"/>
        </w:rPr>
        <w:t>., 25 giugno 2025, n. 167.</w:t>
      </w:r>
    </w:p>
  </w:footnote>
  <w:footnote w:id="34">
    <w:p w14:paraId="5088C111" w14:textId="2391C242" w:rsidR="000E39B0" w:rsidRPr="00123A4F" w:rsidRDefault="00E1258D">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In questa direzione almeno Corte cost, </w:t>
      </w:r>
      <w:proofErr w:type="spellStart"/>
      <w:r w:rsidRPr="00123A4F">
        <w:rPr>
          <w:rFonts w:ascii="Times New Roman" w:hAnsi="Times New Roman" w:cs="Times New Roman"/>
        </w:rPr>
        <w:t>sentt</w:t>
      </w:r>
      <w:proofErr w:type="spellEnd"/>
      <w:r w:rsidRPr="00123A4F">
        <w:rPr>
          <w:rFonts w:ascii="Times New Roman" w:hAnsi="Times New Roman" w:cs="Times New Roman"/>
        </w:rPr>
        <w:t xml:space="preserve">. </w:t>
      </w:r>
      <w:proofErr w:type="spellStart"/>
      <w:r w:rsidRPr="00123A4F">
        <w:rPr>
          <w:rFonts w:ascii="Times New Roman" w:hAnsi="Times New Roman" w:cs="Times New Roman"/>
        </w:rPr>
        <w:t>nn</w:t>
      </w:r>
      <w:proofErr w:type="spellEnd"/>
      <w:r w:rsidRPr="00123A4F">
        <w:rPr>
          <w:rFonts w:ascii="Times New Roman" w:hAnsi="Times New Roman" w:cs="Times New Roman"/>
        </w:rPr>
        <w:t>. 181 del 2024, 1 e 7 del 2025.</w:t>
      </w:r>
      <w:r w:rsidR="000E39B0" w:rsidRPr="00123A4F">
        <w:rPr>
          <w:rFonts w:ascii="Times New Roman" w:hAnsi="Times New Roman" w:cs="Times New Roman"/>
        </w:rPr>
        <w:t xml:space="preserve"> </w:t>
      </w:r>
    </w:p>
  </w:footnote>
  <w:footnote w:id="35">
    <w:p w14:paraId="77AEF8CD" w14:textId="147952EC" w:rsidR="00E1258D" w:rsidRPr="00123A4F" w:rsidRDefault="00E1258D">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È il caso di Corte cost, </w:t>
      </w:r>
      <w:proofErr w:type="spellStart"/>
      <w:r w:rsidRPr="00123A4F">
        <w:rPr>
          <w:rFonts w:ascii="Times New Roman" w:hAnsi="Times New Roman" w:cs="Times New Roman"/>
        </w:rPr>
        <w:t>sentt</w:t>
      </w:r>
      <w:proofErr w:type="spellEnd"/>
      <w:r w:rsidRPr="00123A4F">
        <w:rPr>
          <w:rFonts w:ascii="Times New Roman" w:hAnsi="Times New Roman" w:cs="Times New Roman"/>
        </w:rPr>
        <w:t xml:space="preserve">. </w:t>
      </w:r>
      <w:proofErr w:type="spellStart"/>
      <w:r w:rsidRPr="00123A4F">
        <w:rPr>
          <w:rFonts w:ascii="Times New Roman" w:hAnsi="Times New Roman" w:cs="Times New Roman"/>
        </w:rPr>
        <w:t>nn</w:t>
      </w:r>
      <w:proofErr w:type="spellEnd"/>
      <w:r w:rsidRPr="00123A4F">
        <w:rPr>
          <w:rFonts w:ascii="Times New Roman" w:hAnsi="Times New Roman" w:cs="Times New Roman"/>
        </w:rPr>
        <w:t>. 24 e 31 del 2025 e 1 del 2026.</w:t>
      </w:r>
    </w:p>
  </w:footnote>
  <w:footnote w:id="36">
    <w:p w14:paraId="2F63A662" w14:textId="2E441089" w:rsidR="0047115A" w:rsidRPr="00123A4F" w:rsidRDefault="0047115A" w:rsidP="00425CD5">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Cfr., rispettivamente, </w:t>
      </w:r>
      <w:r w:rsidR="00425CD5" w:rsidRPr="00123A4F">
        <w:rPr>
          <w:rFonts w:ascii="Times New Roman" w:hAnsi="Times New Roman" w:cs="Times New Roman"/>
        </w:rPr>
        <w:t xml:space="preserve">Corte Cass., sez. </w:t>
      </w:r>
      <w:proofErr w:type="spellStart"/>
      <w:r w:rsidR="00425CD5" w:rsidRPr="00123A4F">
        <w:rPr>
          <w:rFonts w:ascii="Times New Roman" w:hAnsi="Times New Roman" w:cs="Times New Roman"/>
        </w:rPr>
        <w:t>trib</w:t>
      </w:r>
      <w:proofErr w:type="spellEnd"/>
      <w:r w:rsidR="00425CD5" w:rsidRPr="00123A4F">
        <w:rPr>
          <w:rFonts w:ascii="Times New Roman" w:hAnsi="Times New Roman" w:cs="Times New Roman"/>
        </w:rPr>
        <w:t xml:space="preserve">., sentenze 29 luglio 2024, n. 21154 e 4 giugno 2019, n. 15198 </w:t>
      </w:r>
      <w:r w:rsidRPr="00123A4F">
        <w:rPr>
          <w:rFonts w:ascii="Times New Roman" w:hAnsi="Times New Roman" w:cs="Times New Roman"/>
        </w:rPr>
        <w:t xml:space="preserve">secondo la quale </w:t>
      </w:r>
      <w:r w:rsidRPr="00123A4F">
        <w:rPr>
          <w:rFonts w:ascii="Times New Roman" w:eastAsia="Times New Roman" w:hAnsi="Times New Roman" w:cs="Times New Roman"/>
          <w:kern w:val="0"/>
          <w:lang w:eastAsia="it-IT"/>
          <w14:ligatures w14:val="none"/>
        </w:rPr>
        <w:t xml:space="preserve">l’art. 6 D.L. n. 511 del 1988 </w:t>
      </w:r>
      <w:r w:rsidRPr="00123A4F">
        <w:rPr>
          <w:rFonts w:ascii="Times New Roman" w:hAnsi="Times New Roman" w:cs="Times New Roman"/>
        </w:rPr>
        <w:t>si porrebbe in contrasto con la direttiva 2008/118/CE, avendo introdotto nell’ordinamento interno un’imposta indiretta ulteriore rispetto all’accisa in mancanza del prescritto requisito delle «finalità specifiche»</w:t>
      </w:r>
      <w:r w:rsidR="00425CD5" w:rsidRPr="00123A4F">
        <w:rPr>
          <w:rFonts w:ascii="Times New Roman" w:hAnsi="Times New Roman" w:cs="Times New Roman"/>
        </w:rPr>
        <w:t xml:space="preserve"> e</w:t>
      </w:r>
      <w:r w:rsidRPr="00123A4F">
        <w:rPr>
          <w:rFonts w:ascii="Times New Roman" w:hAnsi="Times New Roman" w:cs="Times New Roman"/>
        </w:rPr>
        <w:t xml:space="preserve"> </w:t>
      </w:r>
      <w:r w:rsidR="00425CD5" w:rsidRPr="00123A4F">
        <w:rPr>
          <w:rFonts w:ascii="Times New Roman" w:hAnsi="Times New Roman" w:cs="Times New Roman"/>
        </w:rPr>
        <w:t xml:space="preserve">CGUE, sentenza 11 aprile 2024, C-316/22, </w:t>
      </w:r>
      <w:r w:rsidR="00425CD5" w:rsidRPr="00123A4F">
        <w:rPr>
          <w:rFonts w:ascii="Times New Roman" w:hAnsi="Times New Roman" w:cs="Times New Roman"/>
          <w:i/>
          <w:iCs/>
        </w:rPr>
        <w:t>Gabel industria tessile spa e Canavesi spa</w:t>
      </w:r>
      <w:r w:rsidR="00425CD5" w:rsidRPr="00123A4F">
        <w:rPr>
          <w:rFonts w:ascii="Times New Roman" w:hAnsi="Times New Roman" w:cs="Times New Roman"/>
        </w:rPr>
        <w:t>.</w:t>
      </w:r>
    </w:p>
  </w:footnote>
  <w:footnote w:id="37">
    <w:p w14:paraId="21534C10" w14:textId="343FAA47" w:rsidR="00425CD5" w:rsidRPr="00123A4F" w:rsidRDefault="001E6963" w:rsidP="00425CD5">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425CD5" w:rsidRPr="00123A4F">
        <w:rPr>
          <w:rFonts w:ascii="Times New Roman" w:hAnsi="Times New Roman" w:cs="Times New Roman"/>
        </w:rPr>
        <w:t>Nello specifico l’</w:t>
      </w:r>
      <w:r w:rsidR="00571D23" w:rsidRPr="00123A4F">
        <w:rPr>
          <w:rFonts w:ascii="Times New Roman" w:hAnsi="Times New Roman" w:cs="Times New Roman"/>
        </w:rPr>
        <w:t>a</w:t>
      </w:r>
      <w:r w:rsidR="00425CD5" w:rsidRPr="00123A4F">
        <w:rPr>
          <w:rFonts w:ascii="Times New Roman" w:hAnsi="Times New Roman" w:cs="Times New Roman"/>
        </w:rPr>
        <w:t>rt. 1, paragrafo 2, della direttiva 2008/118/CE del 16 dicembre 2008 a mente del quale «[g]</w:t>
      </w:r>
      <w:r w:rsidR="00425CD5" w:rsidRPr="00123A4F">
        <w:rPr>
          <w:rFonts w:ascii="Times New Roman" w:eastAsia="Times New Roman" w:hAnsi="Times New Roman" w:cs="Times New Roman"/>
          <w:kern w:val="0"/>
          <w:lang w:eastAsia="it-IT"/>
          <w14:ligatures w14:val="none"/>
        </w:rPr>
        <w:t>li Stati membri possono applicare ai prodotti sottoposti ad accisa altre imposte indirette aventi finalità specifiche, purché tali imposte siano conformi alle norme fiscali comunitarie applicabili per le accise o per l</w:t>
      </w:r>
      <w:r w:rsidR="00E13695" w:rsidRPr="00123A4F">
        <w:rPr>
          <w:rFonts w:ascii="Times New Roman" w:eastAsia="Times New Roman" w:hAnsi="Times New Roman" w:cs="Times New Roman"/>
          <w:kern w:val="0"/>
          <w:lang w:eastAsia="it-IT"/>
          <w14:ligatures w14:val="none"/>
        </w:rPr>
        <w:t>’</w:t>
      </w:r>
      <w:r w:rsidR="00425CD5" w:rsidRPr="00123A4F">
        <w:rPr>
          <w:rFonts w:ascii="Times New Roman" w:eastAsia="Times New Roman" w:hAnsi="Times New Roman" w:cs="Times New Roman"/>
          <w:kern w:val="0"/>
          <w:lang w:eastAsia="it-IT"/>
          <w14:ligatures w14:val="none"/>
        </w:rPr>
        <w:t>imposta sul valore aggiunto in materia di determinazione della base imponibile, calcolo, esigibilità e controllo dell</w:t>
      </w:r>
      <w:r w:rsidR="00E13695" w:rsidRPr="00123A4F">
        <w:rPr>
          <w:rFonts w:ascii="Times New Roman" w:eastAsia="Times New Roman" w:hAnsi="Times New Roman" w:cs="Times New Roman"/>
          <w:kern w:val="0"/>
          <w:lang w:eastAsia="it-IT"/>
          <w14:ligatures w14:val="none"/>
        </w:rPr>
        <w:t>’</w:t>
      </w:r>
      <w:r w:rsidR="00425CD5" w:rsidRPr="00123A4F">
        <w:rPr>
          <w:rFonts w:ascii="Times New Roman" w:eastAsia="Times New Roman" w:hAnsi="Times New Roman" w:cs="Times New Roman"/>
          <w:kern w:val="0"/>
          <w:lang w:eastAsia="it-IT"/>
          <w14:ligatures w14:val="none"/>
        </w:rPr>
        <w:t>imposta; sono escluse da tali norme le disposizioni relative alle esenzioni».</w:t>
      </w:r>
    </w:p>
  </w:footnote>
  <w:footnote w:id="38">
    <w:p w14:paraId="13F9B60C" w14:textId="22961EC6" w:rsidR="000E39B0" w:rsidRPr="00123A4F" w:rsidRDefault="000E39B0"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Sul vuoto di tutela </w:t>
      </w:r>
      <w:r w:rsidR="000524D5" w:rsidRPr="00123A4F">
        <w:rPr>
          <w:rFonts w:ascii="Times New Roman" w:hAnsi="Times New Roman" w:cs="Times New Roman"/>
        </w:rPr>
        <w:t xml:space="preserve">connesso al mancato riconoscimento di effetti orizzontali alle direttive, </w:t>
      </w:r>
      <w:r w:rsidRPr="00123A4F">
        <w:rPr>
          <w:rFonts w:ascii="Times New Roman" w:hAnsi="Times New Roman" w:cs="Times New Roman"/>
        </w:rPr>
        <w:t>che</w:t>
      </w:r>
      <w:r w:rsidR="009D1E65" w:rsidRPr="00123A4F">
        <w:rPr>
          <w:rFonts w:ascii="Times New Roman" w:hAnsi="Times New Roman" w:cs="Times New Roman"/>
        </w:rPr>
        <w:t xml:space="preserve"> spetta al</w:t>
      </w:r>
      <w:r w:rsidRPr="00123A4F">
        <w:rPr>
          <w:rFonts w:ascii="Times New Roman" w:hAnsi="Times New Roman" w:cs="Times New Roman"/>
        </w:rPr>
        <w:t>le Corti costituzionali colmare</w:t>
      </w:r>
      <w:r w:rsidR="009D1E65" w:rsidRPr="00123A4F">
        <w:rPr>
          <w:rFonts w:ascii="Times New Roman" w:hAnsi="Times New Roman" w:cs="Times New Roman"/>
        </w:rPr>
        <w:t>,</w:t>
      </w:r>
      <w:r w:rsidRPr="00123A4F">
        <w:rPr>
          <w:rFonts w:ascii="Times New Roman" w:hAnsi="Times New Roman" w:cs="Times New Roman"/>
        </w:rPr>
        <w:t xml:space="preserve"> insist</w:t>
      </w:r>
      <w:r w:rsidR="009A7BE7" w:rsidRPr="00123A4F">
        <w:rPr>
          <w:rFonts w:ascii="Times New Roman" w:hAnsi="Times New Roman" w:cs="Times New Roman"/>
        </w:rPr>
        <w:t>e</w:t>
      </w:r>
      <w:r w:rsidRPr="00123A4F">
        <w:rPr>
          <w:rFonts w:ascii="Times New Roman" w:hAnsi="Times New Roman" w:cs="Times New Roman"/>
        </w:rPr>
        <w:t xml:space="preserve"> </w:t>
      </w:r>
      <w:r w:rsidRPr="00123A4F">
        <w:rPr>
          <w:rFonts w:ascii="Times New Roman" w:hAnsi="Times New Roman" w:cs="Times New Roman"/>
          <w:smallCaps/>
        </w:rPr>
        <w:t>D. Gallo</w:t>
      </w:r>
      <w:r w:rsidRPr="00123A4F">
        <w:rPr>
          <w:rFonts w:ascii="Times New Roman" w:hAnsi="Times New Roman" w:cs="Times New Roman"/>
        </w:rPr>
        <w:t xml:space="preserve">, </w:t>
      </w:r>
      <w:r w:rsidRPr="00123A4F">
        <w:rPr>
          <w:rFonts w:ascii="Times New Roman" w:hAnsi="Times New Roman" w:cs="Times New Roman"/>
          <w:i/>
          <w:iCs/>
        </w:rPr>
        <w:t xml:space="preserve">Superamento di </w:t>
      </w:r>
      <w:proofErr w:type="spellStart"/>
      <w:r w:rsidRPr="00123A4F">
        <w:rPr>
          <w:rFonts w:ascii="Times New Roman" w:hAnsi="Times New Roman" w:cs="Times New Roman"/>
          <w:i/>
          <w:iCs/>
        </w:rPr>
        <w:t>Granital</w:t>
      </w:r>
      <w:proofErr w:type="spellEnd"/>
      <w:r w:rsidRPr="00123A4F">
        <w:rPr>
          <w:rFonts w:ascii="Times New Roman" w:hAnsi="Times New Roman" w:cs="Times New Roman"/>
        </w:rPr>
        <w:t>, op. cit., p. 195 ss.</w:t>
      </w:r>
    </w:p>
  </w:footnote>
  <w:footnote w:id="39">
    <w:p w14:paraId="3B53977A" w14:textId="02490335" w:rsidR="00FE5759" w:rsidRPr="00123A4F" w:rsidRDefault="007C5FF9"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 xml:space="preserve">In questo senso ancora </w:t>
      </w:r>
      <w:r w:rsidR="00FE5759" w:rsidRPr="00123A4F">
        <w:rPr>
          <w:rFonts w:ascii="Times New Roman" w:hAnsi="Times New Roman" w:cs="Times New Roman"/>
          <w:smallCaps/>
        </w:rPr>
        <w:t>R. Mastroianni</w:t>
      </w:r>
      <w:r w:rsidR="00FE5759" w:rsidRPr="00123A4F">
        <w:rPr>
          <w:rFonts w:ascii="Times New Roman" w:hAnsi="Times New Roman" w:cs="Times New Roman"/>
        </w:rPr>
        <w:t xml:space="preserve">, </w:t>
      </w:r>
      <w:r w:rsidR="00FE5759" w:rsidRPr="00123A4F">
        <w:rPr>
          <w:rFonts w:ascii="Times New Roman" w:hAnsi="Times New Roman" w:cs="Times New Roman"/>
          <w:i/>
          <w:iCs/>
        </w:rPr>
        <w:t>La sentenza della Corte costituzionale n. 181 del 2024</w:t>
      </w:r>
      <w:r w:rsidR="00FE5759" w:rsidRPr="00123A4F">
        <w:rPr>
          <w:rFonts w:ascii="Times New Roman" w:hAnsi="Times New Roman" w:cs="Times New Roman"/>
        </w:rPr>
        <w:t>, op. cit., p. 6 ss.</w:t>
      </w:r>
    </w:p>
  </w:footnote>
  <w:footnote w:id="40">
    <w:p w14:paraId="59FCCEF2" w14:textId="63858F84" w:rsidR="00235DEF" w:rsidRPr="00123A4F" w:rsidRDefault="00235DEF"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smallCaps/>
        </w:rPr>
        <w:t>A. Chiappetta</w:t>
      </w:r>
      <w:r w:rsidR="00FE5759" w:rsidRPr="00123A4F">
        <w:rPr>
          <w:rFonts w:ascii="Times New Roman" w:hAnsi="Times New Roman" w:cs="Times New Roman"/>
        </w:rPr>
        <w:t xml:space="preserve">, </w:t>
      </w:r>
      <w:r w:rsidR="00FE5759" w:rsidRPr="00123A4F">
        <w:rPr>
          <w:rFonts w:ascii="Times New Roman" w:hAnsi="Times New Roman" w:cs="Times New Roman"/>
          <w:i/>
          <w:iCs/>
        </w:rPr>
        <w:t>Sindacato accentrato e diritto dell’Unione europea</w:t>
      </w:r>
      <w:r w:rsidR="00FE5759" w:rsidRPr="00123A4F">
        <w:rPr>
          <w:rFonts w:ascii="Times New Roman" w:hAnsi="Times New Roman" w:cs="Times New Roman"/>
        </w:rPr>
        <w:t>, op. cit., p</w:t>
      </w:r>
      <w:r w:rsidR="00E13695" w:rsidRPr="00123A4F">
        <w:rPr>
          <w:rFonts w:ascii="Times New Roman" w:hAnsi="Times New Roman" w:cs="Times New Roman"/>
        </w:rPr>
        <w:t>p</w:t>
      </w:r>
      <w:r w:rsidR="00FE5759" w:rsidRPr="00123A4F">
        <w:rPr>
          <w:rFonts w:ascii="Times New Roman" w:hAnsi="Times New Roman" w:cs="Times New Roman"/>
        </w:rPr>
        <w:t>. 2</w:t>
      </w:r>
      <w:r w:rsidR="00E13695" w:rsidRPr="00123A4F">
        <w:rPr>
          <w:rFonts w:ascii="Times New Roman" w:hAnsi="Times New Roman" w:cs="Times New Roman"/>
        </w:rPr>
        <w:t>55-256</w:t>
      </w:r>
      <w:r w:rsidR="00944077" w:rsidRPr="00123A4F">
        <w:rPr>
          <w:rFonts w:ascii="Times New Roman" w:hAnsi="Times New Roman" w:cs="Times New Roman"/>
        </w:rPr>
        <w:t>,</w:t>
      </w:r>
      <w:r w:rsidRPr="00123A4F">
        <w:rPr>
          <w:rFonts w:ascii="Times New Roman" w:hAnsi="Times New Roman" w:cs="Times New Roman"/>
        </w:rPr>
        <w:t xml:space="preserve"> propone di far pubblicare in G.U. le sentenze che disapplicano la legge per contrasto con norme direttamente efficaci del diritto UE</w:t>
      </w:r>
      <w:r w:rsidR="00FE5759" w:rsidRPr="00123A4F">
        <w:rPr>
          <w:rFonts w:ascii="Times New Roman" w:hAnsi="Times New Roman" w:cs="Times New Roman"/>
        </w:rPr>
        <w:t>;</w:t>
      </w:r>
      <w:r w:rsidRPr="00123A4F">
        <w:rPr>
          <w:rFonts w:ascii="Times New Roman" w:hAnsi="Times New Roman" w:cs="Times New Roman"/>
        </w:rPr>
        <w:t xml:space="preserve"> ma potrebbe bastare forse un obbligo di comunicazione </w:t>
      </w:r>
      <w:r w:rsidR="00442EFA" w:rsidRPr="00123A4F">
        <w:rPr>
          <w:rFonts w:ascii="Times New Roman" w:hAnsi="Times New Roman" w:cs="Times New Roman"/>
        </w:rPr>
        <w:t>dei giudici che disapplic</w:t>
      </w:r>
      <w:r w:rsidR="00D02316" w:rsidRPr="00123A4F">
        <w:rPr>
          <w:rFonts w:ascii="Times New Roman" w:hAnsi="Times New Roman" w:cs="Times New Roman"/>
        </w:rPr>
        <w:t xml:space="preserve">ano </w:t>
      </w:r>
      <w:r w:rsidRPr="00123A4F">
        <w:rPr>
          <w:rFonts w:ascii="Times New Roman" w:hAnsi="Times New Roman" w:cs="Times New Roman"/>
        </w:rPr>
        <w:t>al Ministero della Giustizia e in particolare all’ufficio legislativo del Ministro.</w:t>
      </w:r>
    </w:p>
  </w:footnote>
  <w:footnote w:id="41">
    <w:p w14:paraId="7CA020D3" w14:textId="518E7599" w:rsidR="00097E3C" w:rsidRPr="00123A4F" w:rsidRDefault="00097E3C" w:rsidP="00097E3C">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Questa condizione di disomogeneità applicativa è legata </w:t>
      </w:r>
      <w:r w:rsidR="00B90138" w:rsidRPr="00123A4F">
        <w:rPr>
          <w:rFonts w:ascii="Times New Roman" w:hAnsi="Times New Roman" w:cs="Times New Roman"/>
        </w:rPr>
        <w:t xml:space="preserve">sia </w:t>
      </w:r>
      <w:r w:rsidRPr="00123A4F">
        <w:rPr>
          <w:rFonts w:ascii="Times New Roman" w:hAnsi="Times New Roman" w:cs="Times New Roman"/>
        </w:rPr>
        <w:t>all</w:t>
      </w:r>
      <w:r w:rsidR="00902EE4" w:rsidRPr="00123A4F">
        <w:rPr>
          <w:rFonts w:ascii="Times New Roman" w:hAnsi="Times New Roman" w:cs="Times New Roman"/>
        </w:rPr>
        <w:t>e</w:t>
      </w:r>
      <w:r w:rsidRPr="00123A4F">
        <w:rPr>
          <w:rFonts w:ascii="Times New Roman" w:hAnsi="Times New Roman" w:cs="Times New Roman"/>
        </w:rPr>
        <w:t xml:space="preserve"> diverse </w:t>
      </w:r>
      <w:r w:rsidR="00571D23" w:rsidRPr="00123A4F">
        <w:rPr>
          <w:rFonts w:ascii="Times New Roman" w:hAnsi="Times New Roman" w:cs="Times New Roman"/>
        </w:rPr>
        <w:t xml:space="preserve">letture interpretative </w:t>
      </w:r>
      <w:r w:rsidRPr="00123A4F">
        <w:rPr>
          <w:rFonts w:ascii="Times New Roman" w:hAnsi="Times New Roman" w:cs="Times New Roman"/>
        </w:rPr>
        <w:t xml:space="preserve">dei giudici, che si stabilizzano soltanto quando </w:t>
      </w:r>
      <w:r w:rsidR="00902EE4" w:rsidRPr="00123A4F">
        <w:rPr>
          <w:rFonts w:ascii="Times New Roman" w:hAnsi="Times New Roman" w:cs="Times New Roman"/>
        </w:rPr>
        <w:t xml:space="preserve">si giunge </w:t>
      </w:r>
      <w:r w:rsidR="00571D23" w:rsidRPr="00123A4F">
        <w:rPr>
          <w:rFonts w:ascii="Times New Roman" w:hAnsi="Times New Roman" w:cs="Times New Roman"/>
        </w:rPr>
        <w:t xml:space="preserve">al giudizio di </w:t>
      </w:r>
      <w:r w:rsidRPr="00123A4F">
        <w:rPr>
          <w:rFonts w:ascii="Times New Roman" w:hAnsi="Times New Roman" w:cs="Times New Roman"/>
        </w:rPr>
        <w:t xml:space="preserve">Cassazione; </w:t>
      </w:r>
      <w:r w:rsidR="00090243" w:rsidRPr="00123A4F">
        <w:rPr>
          <w:rFonts w:ascii="Times New Roman" w:hAnsi="Times New Roman" w:cs="Times New Roman"/>
        </w:rPr>
        <w:t xml:space="preserve">sia </w:t>
      </w:r>
      <w:r w:rsidRPr="00123A4F">
        <w:rPr>
          <w:rFonts w:ascii="Times New Roman" w:hAnsi="Times New Roman" w:cs="Times New Roman"/>
        </w:rPr>
        <w:t xml:space="preserve">alla prosecuzione di prassi amministrative fondate su leggi anti-unionali, che non sono rimosse se non quando </w:t>
      </w:r>
      <w:r w:rsidR="00571D23" w:rsidRPr="00123A4F">
        <w:rPr>
          <w:rFonts w:ascii="Times New Roman" w:hAnsi="Times New Roman" w:cs="Times New Roman"/>
        </w:rPr>
        <w:t xml:space="preserve">– con i limiti di cui si discorre nel testo – sopraggiunga </w:t>
      </w:r>
      <w:r w:rsidRPr="00123A4F">
        <w:rPr>
          <w:rFonts w:ascii="Times New Roman" w:hAnsi="Times New Roman" w:cs="Times New Roman"/>
        </w:rPr>
        <w:t xml:space="preserve">la legge annuale europea ad abrogare </w:t>
      </w:r>
      <w:r w:rsidR="00571D23" w:rsidRPr="00123A4F">
        <w:rPr>
          <w:rFonts w:ascii="Times New Roman" w:hAnsi="Times New Roman" w:cs="Times New Roman"/>
        </w:rPr>
        <w:t>le norme interne. I</w:t>
      </w:r>
      <w:r w:rsidRPr="00123A4F">
        <w:rPr>
          <w:rFonts w:ascii="Times New Roman" w:hAnsi="Times New Roman" w:cs="Times New Roman"/>
        </w:rPr>
        <w:t>l rimedio della disapplicazione</w:t>
      </w:r>
      <w:r w:rsidR="00571D23" w:rsidRPr="00123A4F">
        <w:rPr>
          <w:rFonts w:ascii="Times New Roman" w:hAnsi="Times New Roman" w:cs="Times New Roman"/>
        </w:rPr>
        <w:t xml:space="preserve"> è, infatti,</w:t>
      </w:r>
      <w:r w:rsidRPr="00123A4F">
        <w:rPr>
          <w:rFonts w:ascii="Times New Roman" w:hAnsi="Times New Roman" w:cs="Times New Roman"/>
        </w:rPr>
        <w:t xml:space="preserve"> puramente teorico per i soggetti dell’amministrazione. Nonostante la sentenza</w:t>
      </w:r>
      <w:r w:rsidR="00E13695" w:rsidRPr="00123A4F">
        <w:rPr>
          <w:rFonts w:ascii="Times New Roman" w:hAnsi="Times New Roman" w:cs="Times New Roman"/>
        </w:rPr>
        <w:t xml:space="preserve"> della Corte costituzionale</w:t>
      </w:r>
      <w:r w:rsidRPr="00123A4F">
        <w:rPr>
          <w:rFonts w:ascii="Times New Roman" w:hAnsi="Times New Roman" w:cs="Times New Roman"/>
        </w:rPr>
        <w:t xml:space="preserve"> </w:t>
      </w:r>
      <w:r w:rsidR="00FE5759" w:rsidRPr="00123A4F">
        <w:rPr>
          <w:rFonts w:ascii="Times New Roman" w:hAnsi="Times New Roman" w:cs="Times New Roman"/>
        </w:rPr>
        <w:t xml:space="preserve">n. </w:t>
      </w:r>
      <w:r w:rsidRPr="00123A4F">
        <w:rPr>
          <w:rFonts w:ascii="Times New Roman" w:hAnsi="Times New Roman" w:cs="Times New Roman"/>
        </w:rPr>
        <w:t>389</w:t>
      </w:r>
      <w:r w:rsidR="00FE5759" w:rsidRPr="00123A4F">
        <w:rPr>
          <w:rFonts w:ascii="Times New Roman" w:hAnsi="Times New Roman" w:cs="Times New Roman"/>
        </w:rPr>
        <w:t xml:space="preserve"> del </w:t>
      </w:r>
      <w:r w:rsidRPr="00123A4F">
        <w:rPr>
          <w:rFonts w:ascii="Times New Roman" w:hAnsi="Times New Roman" w:cs="Times New Roman"/>
        </w:rPr>
        <w:t>198</w:t>
      </w:r>
      <w:r w:rsidR="00944077" w:rsidRPr="00123A4F">
        <w:rPr>
          <w:rFonts w:ascii="Times New Roman" w:hAnsi="Times New Roman" w:cs="Times New Roman"/>
        </w:rPr>
        <w:t>9</w:t>
      </w:r>
      <w:r w:rsidR="00FE5759" w:rsidRPr="00123A4F">
        <w:rPr>
          <w:rFonts w:ascii="Times New Roman" w:hAnsi="Times New Roman" w:cs="Times New Roman"/>
        </w:rPr>
        <w:t xml:space="preserve"> </w:t>
      </w:r>
      <w:r w:rsidRPr="00123A4F">
        <w:rPr>
          <w:rFonts w:ascii="Times New Roman" w:hAnsi="Times New Roman" w:cs="Times New Roman"/>
        </w:rPr>
        <w:t xml:space="preserve">abbia riconosciuto questa possibilità, è pressoché certo che la disapplicazione amministrativa </w:t>
      </w:r>
      <w:r w:rsidR="00902EE4" w:rsidRPr="00123A4F">
        <w:rPr>
          <w:rFonts w:ascii="Times New Roman" w:hAnsi="Times New Roman" w:cs="Times New Roman"/>
        </w:rPr>
        <w:t xml:space="preserve">non </w:t>
      </w:r>
      <w:r w:rsidRPr="00123A4F">
        <w:rPr>
          <w:rFonts w:ascii="Times New Roman" w:hAnsi="Times New Roman" w:cs="Times New Roman"/>
        </w:rPr>
        <w:t xml:space="preserve">sia ipotesi </w:t>
      </w:r>
      <w:r w:rsidR="00902EE4" w:rsidRPr="00123A4F">
        <w:rPr>
          <w:rFonts w:ascii="Times New Roman" w:hAnsi="Times New Roman" w:cs="Times New Roman"/>
        </w:rPr>
        <w:t>realisticamente praticabile</w:t>
      </w:r>
      <w:r w:rsidRPr="00123A4F">
        <w:rPr>
          <w:rFonts w:ascii="Times New Roman" w:hAnsi="Times New Roman" w:cs="Times New Roman"/>
        </w:rPr>
        <w:t xml:space="preserve">. Finché vige un regime di responsabilità dirigenziale per danno erariale, il vertice della </w:t>
      </w:r>
      <w:proofErr w:type="spellStart"/>
      <w:r w:rsidRPr="00123A4F">
        <w:rPr>
          <w:rFonts w:ascii="Times New Roman" w:hAnsi="Times New Roman" w:cs="Times New Roman"/>
        </w:rPr>
        <w:t>kelseniana</w:t>
      </w:r>
      <w:proofErr w:type="spellEnd"/>
      <w:r w:rsidRPr="00123A4F">
        <w:rPr>
          <w:rFonts w:ascii="Times New Roman" w:hAnsi="Times New Roman" w:cs="Times New Roman"/>
        </w:rPr>
        <w:t xml:space="preserve"> piramide delle fonti del diritto non è – in ogni struttura amministrativa composta da uomini comuni e non da eroi – la Costituzione e neppure la legge, ma la </w:t>
      </w:r>
      <w:r w:rsidRPr="00123A4F">
        <w:rPr>
          <w:rFonts w:ascii="Times New Roman" w:hAnsi="Times New Roman" w:cs="Times New Roman"/>
          <w:i/>
          <w:iCs/>
        </w:rPr>
        <w:t>circolare</w:t>
      </w:r>
      <w:r w:rsidRPr="00123A4F">
        <w:rPr>
          <w:rFonts w:ascii="Times New Roman" w:hAnsi="Times New Roman" w:cs="Times New Roman"/>
        </w:rPr>
        <w:t xml:space="preserve"> del superiore gerarchico</w:t>
      </w:r>
      <w:r w:rsidR="00C40D01" w:rsidRPr="00123A4F">
        <w:rPr>
          <w:rFonts w:ascii="Times New Roman" w:hAnsi="Times New Roman" w:cs="Times New Roman"/>
        </w:rPr>
        <w:t xml:space="preserve">, che </w:t>
      </w:r>
      <w:r w:rsidR="00571D23" w:rsidRPr="00123A4F">
        <w:rPr>
          <w:rFonts w:ascii="Times New Roman" w:hAnsi="Times New Roman" w:cs="Times New Roman"/>
        </w:rPr>
        <w:t xml:space="preserve">a sua volta </w:t>
      </w:r>
      <w:r w:rsidR="00C40D01" w:rsidRPr="00123A4F">
        <w:rPr>
          <w:rFonts w:ascii="Times New Roman" w:hAnsi="Times New Roman" w:cs="Times New Roman"/>
        </w:rPr>
        <w:t>si guarderà bene dal discostarsi (a suo rischio e pericolo) dalla pedissequa osservanza della legge</w:t>
      </w:r>
      <w:r w:rsidRPr="00123A4F">
        <w:rPr>
          <w:rFonts w:ascii="Times New Roman" w:hAnsi="Times New Roman" w:cs="Times New Roman"/>
        </w:rPr>
        <w:t>.</w:t>
      </w:r>
    </w:p>
  </w:footnote>
  <w:footnote w:id="42">
    <w:p w14:paraId="068C82D1" w14:textId="77777777" w:rsidR="000E39B0" w:rsidRPr="00123A4F" w:rsidRDefault="000E39B0"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Così CGUE, grande sezione, </w:t>
      </w:r>
      <w:proofErr w:type="spellStart"/>
      <w:r w:rsidRPr="00123A4F">
        <w:rPr>
          <w:rFonts w:ascii="Times New Roman" w:hAnsi="Times New Roman" w:cs="Times New Roman"/>
        </w:rPr>
        <w:t>sent</w:t>
      </w:r>
      <w:proofErr w:type="spellEnd"/>
      <w:r w:rsidRPr="00123A4F">
        <w:rPr>
          <w:rFonts w:ascii="Times New Roman" w:hAnsi="Times New Roman" w:cs="Times New Roman"/>
        </w:rPr>
        <w:t xml:space="preserve">. 12 giugno 2006, causa C-173/03, </w:t>
      </w:r>
      <w:r w:rsidRPr="00123A4F">
        <w:rPr>
          <w:rFonts w:ascii="Times New Roman" w:hAnsi="Times New Roman" w:cs="Times New Roman"/>
          <w:i/>
          <w:iCs/>
        </w:rPr>
        <w:t>Traghetti del Mediterraneo</w:t>
      </w:r>
      <w:r w:rsidRPr="00123A4F">
        <w:rPr>
          <w:rFonts w:ascii="Times New Roman" w:hAnsi="Times New Roman" w:cs="Times New Roman"/>
        </w:rPr>
        <w:t xml:space="preserve">; nonché, in materia di danni connessi all’esercizio di funzioni giudiziarie, CGUE, </w:t>
      </w:r>
      <w:proofErr w:type="spellStart"/>
      <w:r w:rsidRPr="00123A4F">
        <w:rPr>
          <w:rFonts w:ascii="Times New Roman" w:hAnsi="Times New Roman" w:cs="Times New Roman"/>
        </w:rPr>
        <w:t>sentt</w:t>
      </w:r>
      <w:proofErr w:type="spellEnd"/>
      <w:r w:rsidRPr="00123A4F">
        <w:rPr>
          <w:rFonts w:ascii="Times New Roman" w:hAnsi="Times New Roman" w:cs="Times New Roman"/>
        </w:rPr>
        <w:t xml:space="preserve">. 30 settembre 2003, causa C-224/01, </w:t>
      </w:r>
      <w:r w:rsidRPr="00123A4F">
        <w:rPr>
          <w:rFonts w:ascii="Times New Roman" w:hAnsi="Times New Roman" w:cs="Times New Roman"/>
          <w:i/>
          <w:iCs/>
        </w:rPr>
        <w:t>Gerhard Köbler</w:t>
      </w:r>
      <w:r w:rsidRPr="00123A4F">
        <w:rPr>
          <w:rFonts w:ascii="Times New Roman" w:hAnsi="Times New Roman" w:cs="Times New Roman"/>
        </w:rPr>
        <w:t xml:space="preserve">, e 24 novembre 2011, causa C-379/10, </w:t>
      </w:r>
      <w:r w:rsidRPr="00123A4F">
        <w:rPr>
          <w:rFonts w:ascii="Times New Roman" w:hAnsi="Times New Roman" w:cs="Times New Roman"/>
          <w:i/>
          <w:iCs/>
        </w:rPr>
        <w:t>Commissione contro Italia</w:t>
      </w:r>
      <w:r w:rsidRPr="00123A4F">
        <w:rPr>
          <w:rFonts w:ascii="Times New Roman" w:hAnsi="Times New Roman" w:cs="Times New Roman"/>
        </w:rPr>
        <w:t>. L’obbligo de quo è posto, come noto, nell’art. 267, terzo paragrafo, TFUE.</w:t>
      </w:r>
    </w:p>
  </w:footnote>
  <w:footnote w:id="43">
    <w:p w14:paraId="578352E2" w14:textId="77777777" w:rsidR="000E39B0" w:rsidRPr="00123A4F" w:rsidRDefault="000E39B0" w:rsidP="000E39B0">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CGUE, </w:t>
      </w:r>
      <w:proofErr w:type="spellStart"/>
      <w:r w:rsidRPr="00123A4F">
        <w:rPr>
          <w:rFonts w:ascii="Times New Roman" w:hAnsi="Times New Roman" w:cs="Times New Roman"/>
        </w:rPr>
        <w:t>sent</w:t>
      </w:r>
      <w:proofErr w:type="spellEnd"/>
      <w:r w:rsidRPr="00123A4F">
        <w:rPr>
          <w:rFonts w:ascii="Times New Roman" w:hAnsi="Times New Roman" w:cs="Times New Roman"/>
        </w:rPr>
        <w:t xml:space="preserve">. 20 dicembre 2017, causa C-322/16, </w:t>
      </w:r>
      <w:r w:rsidRPr="00123A4F">
        <w:rPr>
          <w:rFonts w:ascii="Times New Roman" w:hAnsi="Times New Roman" w:cs="Times New Roman"/>
          <w:i/>
          <w:iCs/>
        </w:rPr>
        <w:t xml:space="preserve">Global </w:t>
      </w:r>
      <w:proofErr w:type="spellStart"/>
      <w:r w:rsidRPr="00123A4F">
        <w:rPr>
          <w:rFonts w:ascii="Times New Roman" w:hAnsi="Times New Roman" w:cs="Times New Roman"/>
          <w:i/>
          <w:iCs/>
        </w:rPr>
        <w:t>Starnet</w:t>
      </w:r>
      <w:proofErr w:type="spellEnd"/>
      <w:r w:rsidRPr="00123A4F">
        <w:rPr>
          <w:rFonts w:ascii="Times New Roman" w:hAnsi="Times New Roman" w:cs="Times New Roman"/>
          <w:i/>
          <w:iCs/>
        </w:rPr>
        <w:t xml:space="preserve"> Ltd</w:t>
      </w:r>
      <w:r w:rsidRPr="00123A4F">
        <w:rPr>
          <w:rFonts w:ascii="Times New Roman" w:hAnsi="Times New Roman" w:cs="Times New Roman"/>
        </w:rPr>
        <w:t>.</w:t>
      </w:r>
    </w:p>
  </w:footnote>
  <w:footnote w:id="44">
    <w:p w14:paraId="640F8277" w14:textId="77777777" w:rsidR="000E39B0" w:rsidRPr="00123A4F" w:rsidRDefault="000E39B0"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CGUE, sentenza 6 ottobre 1982, C-283/81, </w:t>
      </w:r>
      <w:proofErr w:type="spellStart"/>
      <w:r w:rsidRPr="00123A4F">
        <w:rPr>
          <w:rFonts w:ascii="Times New Roman" w:hAnsi="Times New Roman" w:cs="Times New Roman"/>
          <w:i/>
          <w:iCs/>
        </w:rPr>
        <w:t>Srl</w:t>
      </w:r>
      <w:proofErr w:type="spellEnd"/>
      <w:r w:rsidRPr="00123A4F">
        <w:rPr>
          <w:rFonts w:ascii="Times New Roman" w:hAnsi="Times New Roman" w:cs="Times New Roman"/>
          <w:i/>
          <w:iCs/>
        </w:rPr>
        <w:t xml:space="preserve"> </w:t>
      </w:r>
      <w:proofErr w:type="spellStart"/>
      <w:r w:rsidRPr="00123A4F">
        <w:rPr>
          <w:rFonts w:ascii="Times New Roman" w:hAnsi="Times New Roman" w:cs="Times New Roman"/>
          <w:i/>
          <w:iCs/>
        </w:rPr>
        <w:t>Cilfit</w:t>
      </w:r>
      <w:proofErr w:type="spellEnd"/>
      <w:r w:rsidRPr="00123A4F">
        <w:rPr>
          <w:rFonts w:ascii="Times New Roman" w:hAnsi="Times New Roman" w:cs="Times New Roman"/>
          <w:i/>
          <w:iCs/>
        </w:rPr>
        <w:t xml:space="preserve"> e Lanificio di Gavardo </w:t>
      </w:r>
      <w:proofErr w:type="spellStart"/>
      <w:r w:rsidRPr="00123A4F">
        <w:rPr>
          <w:rFonts w:ascii="Times New Roman" w:hAnsi="Times New Roman" w:cs="Times New Roman"/>
          <w:i/>
          <w:iCs/>
        </w:rPr>
        <w:t>SpA</w:t>
      </w:r>
      <w:proofErr w:type="spellEnd"/>
      <w:r w:rsidRPr="00123A4F">
        <w:rPr>
          <w:rFonts w:ascii="Times New Roman" w:hAnsi="Times New Roman" w:cs="Times New Roman"/>
          <w:i/>
          <w:iCs/>
        </w:rPr>
        <w:t xml:space="preserve"> contro Ministero della sanità</w:t>
      </w:r>
      <w:r w:rsidRPr="00123A4F">
        <w:rPr>
          <w:rFonts w:ascii="Times New Roman" w:hAnsi="Times New Roman" w:cs="Times New Roman"/>
        </w:rPr>
        <w:t xml:space="preserve"> e sentenza 6 ottobre 2021, C-561/19, </w:t>
      </w:r>
      <w:r w:rsidRPr="00123A4F">
        <w:rPr>
          <w:rFonts w:ascii="Times New Roman" w:hAnsi="Times New Roman" w:cs="Times New Roman"/>
          <w:i/>
          <w:iCs/>
        </w:rPr>
        <w:t xml:space="preserve">Consorzio </w:t>
      </w:r>
      <w:proofErr w:type="spellStart"/>
      <w:r w:rsidRPr="00123A4F">
        <w:rPr>
          <w:rFonts w:ascii="Times New Roman" w:hAnsi="Times New Roman" w:cs="Times New Roman"/>
          <w:i/>
          <w:iCs/>
        </w:rPr>
        <w:t>Italian</w:t>
      </w:r>
      <w:proofErr w:type="spellEnd"/>
      <w:r w:rsidRPr="00123A4F">
        <w:rPr>
          <w:rFonts w:ascii="Times New Roman" w:hAnsi="Times New Roman" w:cs="Times New Roman"/>
          <w:i/>
          <w:iCs/>
        </w:rPr>
        <w:t xml:space="preserve"> Management e Catania Multiservizi </w:t>
      </w:r>
      <w:proofErr w:type="spellStart"/>
      <w:r w:rsidRPr="00123A4F">
        <w:rPr>
          <w:rFonts w:ascii="Times New Roman" w:hAnsi="Times New Roman" w:cs="Times New Roman"/>
          <w:i/>
          <w:iCs/>
        </w:rPr>
        <w:t>SpA</w:t>
      </w:r>
      <w:proofErr w:type="spellEnd"/>
      <w:r w:rsidRPr="00123A4F">
        <w:rPr>
          <w:rFonts w:ascii="Times New Roman" w:hAnsi="Times New Roman" w:cs="Times New Roman"/>
          <w:i/>
          <w:iCs/>
        </w:rPr>
        <w:t xml:space="preserve"> c. Rete Ferroviaria Italiana </w:t>
      </w:r>
      <w:proofErr w:type="spellStart"/>
      <w:r w:rsidRPr="00123A4F">
        <w:rPr>
          <w:rFonts w:ascii="Times New Roman" w:hAnsi="Times New Roman" w:cs="Times New Roman"/>
          <w:i/>
          <w:iCs/>
        </w:rPr>
        <w:t>SpA</w:t>
      </w:r>
      <w:proofErr w:type="spellEnd"/>
      <w:r w:rsidRPr="00123A4F">
        <w:rPr>
          <w:rFonts w:ascii="Times New Roman" w:hAnsi="Times New Roman" w:cs="Times New Roman"/>
        </w:rPr>
        <w:t>.</w:t>
      </w:r>
    </w:p>
  </w:footnote>
  <w:footnote w:id="45">
    <w:p w14:paraId="50F8EE66" w14:textId="75CB47DE" w:rsidR="00773E35" w:rsidRPr="00123A4F" w:rsidRDefault="00773E35"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 xml:space="preserve">Lo ha </w:t>
      </w:r>
      <w:r w:rsidR="00E13695" w:rsidRPr="00123A4F">
        <w:rPr>
          <w:rFonts w:ascii="Times New Roman" w:hAnsi="Times New Roman" w:cs="Times New Roman"/>
        </w:rPr>
        <w:t>sottolineato</w:t>
      </w:r>
      <w:r w:rsidR="00FE5759" w:rsidRPr="00123A4F">
        <w:rPr>
          <w:rFonts w:ascii="Times New Roman" w:hAnsi="Times New Roman" w:cs="Times New Roman"/>
        </w:rPr>
        <w:t xml:space="preserve"> </w:t>
      </w:r>
      <w:r w:rsidR="00FE5759" w:rsidRPr="00123A4F">
        <w:rPr>
          <w:rFonts w:ascii="Times New Roman" w:hAnsi="Times New Roman" w:cs="Times New Roman"/>
          <w:smallCaps/>
        </w:rPr>
        <w:t>R. Mastroianni</w:t>
      </w:r>
      <w:r w:rsidR="00FE5759" w:rsidRPr="00123A4F">
        <w:rPr>
          <w:rFonts w:ascii="Times New Roman" w:hAnsi="Times New Roman" w:cs="Times New Roman"/>
        </w:rPr>
        <w:t xml:space="preserve">, </w:t>
      </w:r>
      <w:r w:rsidR="00FE5759" w:rsidRPr="00123A4F">
        <w:rPr>
          <w:rFonts w:ascii="Times New Roman" w:hAnsi="Times New Roman" w:cs="Times New Roman"/>
          <w:i/>
          <w:iCs/>
        </w:rPr>
        <w:t>La sentenza della Corte costituzionale n. 181 del 2024</w:t>
      </w:r>
      <w:r w:rsidR="00FE5759" w:rsidRPr="00123A4F">
        <w:rPr>
          <w:rFonts w:ascii="Times New Roman" w:hAnsi="Times New Roman" w:cs="Times New Roman"/>
        </w:rPr>
        <w:t xml:space="preserve">, op. cit., p. 20 ss. Nella medesima direzione </w:t>
      </w:r>
      <w:r w:rsidR="00FE5759" w:rsidRPr="00123A4F">
        <w:rPr>
          <w:rFonts w:ascii="Times New Roman" w:hAnsi="Times New Roman" w:cs="Times New Roman"/>
          <w:smallCaps/>
        </w:rPr>
        <w:t>S. Sciarra</w:t>
      </w:r>
      <w:r w:rsidR="00FE5759" w:rsidRPr="00123A4F">
        <w:rPr>
          <w:rFonts w:ascii="Times New Roman" w:hAnsi="Times New Roman" w:cs="Times New Roman"/>
        </w:rPr>
        <w:t xml:space="preserve">, </w:t>
      </w:r>
      <w:r w:rsidR="00FE5759" w:rsidRPr="00123A4F">
        <w:rPr>
          <w:rFonts w:ascii="Times New Roman" w:hAnsi="Times New Roman" w:cs="Times New Roman"/>
          <w:i/>
          <w:iCs/>
        </w:rPr>
        <w:t xml:space="preserve">Antonio La Pergola e l’Europa del diritto: a partire dalla sentenza </w:t>
      </w:r>
      <w:proofErr w:type="spellStart"/>
      <w:r w:rsidR="00FE5759" w:rsidRPr="00123A4F">
        <w:rPr>
          <w:rFonts w:ascii="Times New Roman" w:hAnsi="Times New Roman" w:cs="Times New Roman"/>
          <w:i/>
          <w:iCs/>
        </w:rPr>
        <w:t>Granital</w:t>
      </w:r>
      <w:proofErr w:type="spellEnd"/>
      <w:r w:rsidR="00FE5759" w:rsidRPr="00123A4F">
        <w:rPr>
          <w:rFonts w:ascii="Times New Roman" w:hAnsi="Times New Roman" w:cs="Times New Roman"/>
        </w:rPr>
        <w:t xml:space="preserve">, in </w:t>
      </w:r>
      <w:r w:rsidR="00FE5759" w:rsidRPr="00123A4F">
        <w:rPr>
          <w:rFonts w:ascii="Times New Roman" w:hAnsi="Times New Roman" w:cs="Times New Roman"/>
          <w:i/>
          <w:iCs/>
        </w:rPr>
        <w:t>Giur</w:t>
      </w:r>
      <w:r w:rsidR="000E39B0" w:rsidRPr="00123A4F">
        <w:rPr>
          <w:rFonts w:ascii="Times New Roman" w:hAnsi="Times New Roman" w:cs="Times New Roman"/>
          <w:i/>
          <w:iCs/>
        </w:rPr>
        <w:t>.</w:t>
      </w:r>
      <w:r w:rsidR="00FE5759" w:rsidRPr="00123A4F">
        <w:rPr>
          <w:rFonts w:ascii="Times New Roman" w:hAnsi="Times New Roman" w:cs="Times New Roman"/>
          <w:i/>
          <w:iCs/>
        </w:rPr>
        <w:t xml:space="preserve"> </w:t>
      </w:r>
      <w:r w:rsidR="000E39B0" w:rsidRPr="00123A4F">
        <w:rPr>
          <w:rFonts w:ascii="Times New Roman" w:hAnsi="Times New Roman" w:cs="Times New Roman"/>
          <w:i/>
          <w:iCs/>
        </w:rPr>
        <w:t>c</w:t>
      </w:r>
      <w:r w:rsidR="00FE5759" w:rsidRPr="00123A4F">
        <w:rPr>
          <w:rFonts w:ascii="Times New Roman" w:hAnsi="Times New Roman" w:cs="Times New Roman"/>
          <w:i/>
          <w:iCs/>
        </w:rPr>
        <w:t>ost</w:t>
      </w:r>
      <w:r w:rsidR="000E39B0" w:rsidRPr="00123A4F">
        <w:rPr>
          <w:rFonts w:ascii="Times New Roman" w:hAnsi="Times New Roman" w:cs="Times New Roman"/>
          <w:i/>
          <w:iCs/>
        </w:rPr>
        <w:t>.</w:t>
      </w:r>
      <w:r w:rsidR="00FE5759" w:rsidRPr="00123A4F">
        <w:rPr>
          <w:rFonts w:ascii="Times New Roman" w:hAnsi="Times New Roman" w:cs="Times New Roman"/>
        </w:rPr>
        <w:t xml:space="preserve">, 2025, 1, p. 213 e </w:t>
      </w:r>
      <w:r w:rsidR="00FE5759" w:rsidRPr="00123A4F">
        <w:rPr>
          <w:rFonts w:ascii="Times New Roman" w:hAnsi="Times New Roman" w:cs="Times New Roman"/>
          <w:smallCaps/>
        </w:rPr>
        <w:t>C. Amalfitano</w:t>
      </w:r>
      <w:r w:rsidR="00FE5759" w:rsidRPr="00123A4F">
        <w:rPr>
          <w:rFonts w:ascii="Times New Roman" w:hAnsi="Times New Roman" w:cs="Times New Roman"/>
        </w:rPr>
        <w:t xml:space="preserve">, </w:t>
      </w:r>
      <w:r w:rsidR="00FE5759" w:rsidRPr="00123A4F">
        <w:rPr>
          <w:rFonts w:ascii="Times New Roman" w:hAnsi="Times New Roman" w:cs="Times New Roman"/>
          <w:i/>
          <w:iCs/>
        </w:rPr>
        <w:t xml:space="preserve">Tanto tuonò che piovve. Abbandonare </w:t>
      </w:r>
      <w:proofErr w:type="spellStart"/>
      <w:r w:rsidR="00FE5759" w:rsidRPr="00123A4F">
        <w:rPr>
          <w:rFonts w:ascii="Times New Roman" w:hAnsi="Times New Roman" w:cs="Times New Roman"/>
          <w:i/>
          <w:iCs/>
        </w:rPr>
        <w:t>Granital</w:t>
      </w:r>
      <w:proofErr w:type="spellEnd"/>
      <w:r w:rsidR="00FE5759" w:rsidRPr="00123A4F">
        <w:rPr>
          <w:rFonts w:ascii="Times New Roman" w:hAnsi="Times New Roman" w:cs="Times New Roman"/>
          <w:i/>
          <w:iCs/>
        </w:rPr>
        <w:t xml:space="preserve">: cui </w:t>
      </w:r>
      <w:proofErr w:type="spellStart"/>
      <w:proofErr w:type="gramStart"/>
      <w:r w:rsidR="00FE5759" w:rsidRPr="00123A4F">
        <w:rPr>
          <w:rFonts w:ascii="Times New Roman" w:hAnsi="Times New Roman" w:cs="Times New Roman"/>
          <w:i/>
          <w:iCs/>
        </w:rPr>
        <w:t>prodest</w:t>
      </w:r>
      <w:proofErr w:type="spellEnd"/>
      <w:r w:rsidR="00FE5759" w:rsidRPr="00123A4F">
        <w:rPr>
          <w:rFonts w:ascii="Times New Roman" w:hAnsi="Times New Roman" w:cs="Times New Roman"/>
          <w:i/>
          <w:iCs/>
        </w:rPr>
        <w:t>?,</w:t>
      </w:r>
      <w:proofErr w:type="gramEnd"/>
      <w:r w:rsidR="00FE5759" w:rsidRPr="00123A4F">
        <w:rPr>
          <w:rFonts w:ascii="Times New Roman" w:hAnsi="Times New Roman" w:cs="Times New Roman"/>
        </w:rPr>
        <w:t xml:space="preserve"> in </w:t>
      </w:r>
      <w:r w:rsidR="00FE5759" w:rsidRPr="00123A4F">
        <w:rPr>
          <w:rFonts w:ascii="Times New Roman" w:hAnsi="Times New Roman" w:cs="Times New Roman"/>
          <w:i/>
          <w:iCs/>
        </w:rPr>
        <w:t>Giur</w:t>
      </w:r>
      <w:r w:rsidR="000E39B0" w:rsidRPr="00123A4F">
        <w:rPr>
          <w:rFonts w:ascii="Times New Roman" w:hAnsi="Times New Roman" w:cs="Times New Roman"/>
          <w:i/>
          <w:iCs/>
        </w:rPr>
        <w:t>.</w:t>
      </w:r>
      <w:r w:rsidR="00FE5759" w:rsidRPr="00123A4F">
        <w:rPr>
          <w:rFonts w:ascii="Times New Roman" w:hAnsi="Times New Roman" w:cs="Times New Roman"/>
          <w:i/>
          <w:iCs/>
        </w:rPr>
        <w:t xml:space="preserve"> cost</w:t>
      </w:r>
      <w:r w:rsidR="000E39B0" w:rsidRPr="00123A4F">
        <w:rPr>
          <w:rFonts w:ascii="Times New Roman" w:hAnsi="Times New Roman" w:cs="Times New Roman"/>
          <w:i/>
          <w:iCs/>
        </w:rPr>
        <w:t>.</w:t>
      </w:r>
      <w:r w:rsidR="00FE5759" w:rsidRPr="00123A4F">
        <w:rPr>
          <w:rFonts w:ascii="Times New Roman" w:hAnsi="Times New Roman" w:cs="Times New Roman"/>
        </w:rPr>
        <w:t>, 2024, 6, p. 2637.</w:t>
      </w:r>
    </w:p>
  </w:footnote>
  <w:footnote w:id="46">
    <w:p w14:paraId="32254F4F" w14:textId="09F9FB29" w:rsidR="00F31464" w:rsidRPr="00123A4F" w:rsidRDefault="00F31464" w:rsidP="00F31464">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Per </w:t>
      </w:r>
      <w:r w:rsidRPr="00123A4F">
        <w:rPr>
          <w:rFonts w:ascii="Times New Roman" w:hAnsi="Times New Roman" w:cs="Times New Roman"/>
          <w:smallCaps/>
        </w:rPr>
        <w:t>D. Gallo</w:t>
      </w:r>
      <w:r w:rsidRPr="00123A4F">
        <w:rPr>
          <w:rFonts w:ascii="Times New Roman" w:hAnsi="Times New Roman" w:cs="Times New Roman"/>
        </w:rPr>
        <w:t xml:space="preserve">, </w:t>
      </w:r>
      <w:r w:rsidRPr="00123A4F">
        <w:rPr>
          <w:rFonts w:ascii="Times New Roman" w:hAnsi="Times New Roman" w:cs="Times New Roman"/>
          <w:i/>
          <w:iCs/>
        </w:rPr>
        <w:t xml:space="preserve">Superamento di </w:t>
      </w:r>
      <w:proofErr w:type="spellStart"/>
      <w:r w:rsidRPr="00123A4F">
        <w:rPr>
          <w:rFonts w:ascii="Times New Roman" w:hAnsi="Times New Roman" w:cs="Times New Roman"/>
          <w:i/>
          <w:iCs/>
        </w:rPr>
        <w:t>Granital</w:t>
      </w:r>
      <w:proofErr w:type="spellEnd"/>
      <w:r w:rsidR="000E39B0" w:rsidRPr="00123A4F">
        <w:rPr>
          <w:rFonts w:ascii="Times New Roman" w:hAnsi="Times New Roman" w:cs="Times New Roman"/>
          <w:i/>
          <w:iCs/>
        </w:rPr>
        <w:t xml:space="preserve">, </w:t>
      </w:r>
      <w:r w:rsidR="000E39B0" w:rsidRPr="00123A4F">
        <w:rPr>
          <w:rFonts w:ascii="Times New Roman" w:hAnsi="Times New Roman" w:cs="Times New Roman"/>
        </w:rPr>
        <w:t>op. cit.</w:t>
      </w:r>
      <w:r w:rsidR="000E39B0" w:rsidRPr="00123A4F">
        <w:rPr>
          <w:rFonts w:ascii="Times New Roman" w:hAnsi="Times New Roman" w:cs="Times New Roman"/>
          <w:i/>
          <w:iCs/>
        </w:rPr>
        <w:t>,</w:t>
      </w:r>
      <w:r w:rsidRPr="00123A4F">
        <w:rPr>
          <w:rFonts w:ascii="Times New Roman" w:hAnsi="Times New Roman" w:cs="Times New Roman"/>
        </w:rPr>
        <w:t xml:space="preserve"> p. 173 ss. è auspicabile una ‘ridefinizione’ dei «presupposti sottesi all’espressione, indefinita e quindi naturalmente espansiva, di ‘tono costituzionale’».</w:t>
      </w:r>
    </w:p>
  </w:footnote>
  <w:footnote w:id="47">
    <w:p w14:paraId="6B3295B4" w14:textId="2FD1773C" w:rsidR="00773E35" w:rsidRPr="00123A4F" w:rsidRDefault="00773E35" w:rsidP="00FE5759">
      <w:pPr>
        <w:pStyle w:val="Testonotaapidipagina"/>
        <w:spacing w:line="200" w:lineRule="atLeast"/>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11087E" w:rsidRPr="00123A4F">
        <w:rPr>
          <w:rFonts w:ascii="Times New Roman" w:hAnsi="Times New Roman" w:cs="Times New Roman"/>
        </w:rPr>
        <w:t xml:space="preserve">Corte cost., </w:t>
      </w:r>
      <w:proofErr w:type="spellStart"/>
      <w:r w:rsidR="0011087E" w:rsidRPr="00123A4F">
        <w:rPr>
          <w:rFonts w:ascii="Times New Roman" w:hAnsi="Times New Roman" w:cs="Times New Roman"/>
        </w:rPr>
        <w:t>sentt</w:t>
      </w:r>
      <w:proofErr w:type="spellEnd"/>
      <w:r w:rsidR="0011087E" w:rsidRPr="00123A4F">
        <w:rPr>
          <w:rFonts w:ascii="Times New Roman" w:hAnsi="Times New Roman" w:cs="Times New Roman"/>
        </w:rPr>
        <w:t xml:space="preserve">. </w:t>
      </w:r>
      <w:proofErr w:type="spellStart"/>
      <w:r w:rsidR="0011087E" w:rsidRPr="00123A4F">
        <w:rPr>
          <w:rFonts w:ascii="Times New Roman" w:hAnsi="Times New Roman" w:cs="Times New Roman"/>
        </w:rPr>
        <w:t>nn</w:t>
      </w:r>
      <w:proofErr w:type="spellEnd"/>
      <w:r w:rsidR="0011087E" w:rsidRPr="00123A4F">
        <w:rPr>
          <w:rFonts w:ascii="Times New Roman" w:hAnsi="Times New Roman" w:cs="Times New Roman"/>
        </w:rPr>
        <w:t xml:space="preserve">. 1, 7, 31, 48, 93 e 147 del 2025, </w:t>
      </w:r>
      <w:proofErr w:type="spellStart"/>
      <w:r w:rsidR="0011087E" w:rsidRPr="00123A4F">
        <w:rPr>
          <w:rFonts w:ascii="Times New Roman" w:hAnsi="Times New Roman" w:cs="Times New Roman"/>
        </w:rPr>
        <w:t>ord</w:t>
      </w:r>
      <w:proofErr w:type="spellEnd"/>
      <w:r w:rsidR="0011087E" w:rsidRPr="00123A4F">
        <w:rPr>
          <w:rFonts w:ascii="Times New Roman" w:hAnsi="Times New Roman" w:cs="Times New Roman"/>
        </w:rPr>
        <w:t xml:space="preserve">. n. 21 del 2025 e </w:t>
      </w:r>
      <w:proofErr w:type="spellStart"/>
      <w:r w:rsidR="0011087E" w:rsidRPr="00123A4F">
        <w:rPr>
          <w:rFonts w:ascii="Times New Roman" w:hAnsi="Times New Roman" w:cs="Times New Roman"/>
        </w:rPr>
        <w:t>sentt</w:t>
      </w:r>
      <w:proofErr w:type="spellEnd"/>
      <w:r w:rsidR="0011087E" w:rsidRPr="00123A4F">
        <w:rPr>
          <w:rFonts w:ascii="Times New Roman" w:hAnsi="Times New Roman" w:cs="Times New Roman"/>
        </w:rPr>
        <w:t xml:space="preserve">. </w:t>
      </w:r>
      <w:proofErr w:type="spellStart"/>
      <w:r w:rsidR="0011087E" w:rsidRPr="00123A4F">
        <w:rPr>
          <w:rFonts w:ascii="Times New Roman" w:hAnsi="Times New Roman" w:cs="Times New Roman"/>
        </w:rPr>
        <w:t>nn</w:t>
      </w:r>
      <w:proofErr w:type="spellEnd"/>
      <w:r w:rsidR="0011087E" w:rsidRPr="00123A4F">
        <w:rPr>
          <w:rFonts w:ascii="Times New Roman" w:hAnsi="Times New Roman" w:cs="Times New Roman"/>
        </w:rPr>
        <w:t>. 1 e 6 del 2026</w:t>
      </w:r>
      <w:r w:rsidR="005F5D6E" w:rsidRPr="00123A4F">
        <w:rPr>
          <w:rFonts w:ascii="Times New Roman" w:hAnsi="Times New Roman" w:cs="Times New Roman"/>
        </w:rPr>
        <w:t xml:space="preserve">. </w:t>
      </w:r>
      <w:r w:rsidR="00FE5759" w:rsidRPr="00123A4F">
        <w:rPr>
          <w:rFonts w:ascii="Times New Roman" w:hAnsi="Times New Roman" w:cs="Times New Roman"/>
        </w:rPr>
        <w:t>La formula che certifica la sussistenza del ‘tono costituzionale’ della questione è ormai standardizzata: «è innegabile, anche perché tutti i rimettenti sollevano, con riferimento a parametri ‘interni’ […] questioni coinvolgenti principi costituzionali» (</w:t>
      </w:r>
      <w:r w:rsidR="00FE5759" w:rsidRPr="00123A4F">
        <w:rPr>
          <w:rFonts w:ascii="Times New Roman" w:hAnsi="Times New Roman" w:cs="Times New Roman"/>
          <w:i/>
          <w:iCs/>
        </w:rPr>
        <w:t xml:space="preserve">ex </w:t>
      </w:r>
      <w:proofErr w:type="spellStart"/>
      <w:r w:rsidR="00FE5759" w:rsidRPr="00123A4F">
        <w:rPr>
          <w:rFonts w:ascii="Times New Roman" w:hAnsi="Times New Roman" w:cs="Times New Roman"/>
          <w:i/>
          <w:iCs/>
        </w:rPr>
        <w:t>multis</w:t>
      </w:r>
      <w:proofErr w:type="spellEnd"/>
      <w:r w:rsidR="00FE5759" w:rsidRPr="00123A4F">
        <w:rPr>
          <w:rFonts w:ascii="Times New Roman" w:hAnsi="Times New Roman" w:cs="Times New Roman"/>
          <w:i/>
          <w:iCs/>
        </w:rPr>
        <w:t xml:space="preserve">, </w:t>
      </w:r>
      <w:r w:rsidR="00FE5759" w:rsidRPr="00123A4F">
        <w:rPr>
          <w:rFonts w:ascii="Times New Roman" w:hAnsi="Times New Roman" w:cs="Times New Roman"/>
        </w:rPr>
        <w:t xml:space="preserve">Corte cost., </w:t>
      </w:r>
      <w:proofErr w:type="spellStart"/>
      <w:r w:rsidR="00FE5759" w:rsidRPr="00123A4F">
        <w:rPr>
          <w:rFonts w:ascii="Times New Roman" w:hAnsi="Times New Roman" w:cs="Times New Roman"/>
        </w:rPr>
        <w:t>ord</w:t>
      </w:r>
      <w:proofErr w:type="spellEnd"/>
      <w:r w:rsidR="00FE5759" w:rsidRPr="00123A4F">
        <w:rPr>
          <w:rFonts w:ascii="Times New Roman" w:hAnsi="Times New Roman" w:cs="Times New Roman"/>
        </w:rPr>
        <w:t xml:space="preserve">. n. 21 del 2025 punto 6 del </w:t>
      </w:r>
      <w:r w:rsidR="00FE5759" w:rsidRPr="00123A4F">
        <w:rPr>
          <w:rFonts w:ascii="Times New Roman" w:hAnsi="Times New Roman" w:cs="Times New Roman"/>
          <w:i/>
          <w:iCs/>
        </w:rPr>
        <w:t>Considerato in diritto</w:t>
      </w:r>
      <w:r w:rsidR="00FE5759" w:rsidRPr="00123A4F">
        <w:rPr>
          <w:rFonts w:ascii="Times New Roman" w:hAnsi="Times New Roman" w:cs="Times New Roman"/>
        </w:rPr>
        <w:t>).</w:t>
      </w:r>
    </w:p>
  </w:footnote>
  <w:footnote w:id="48">
    <w:p w14:paraId="5CC37A70" w14:textId="37E74A55" w:rsidR="00773E35" w:rsidRPr="00123A4F" w:rsidRDefault="00773E35"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Si veda ad esempio la sentenza n. 7 del 2025 in tema di principio di proporzionalità delle sanzioni, ove le previsioni della Carta di Nizza </w:t>
      </w:r>
      <w:r w:rsidR="00FE5759" w:rsidRPr="00123A4F">
        <w:rPr>
          <w:rFonts w:ascii="Times New Roman" w:hAnsi="Times New Roman" w:cs="Times New Roman"/>
        </w:rPr>
        <w:t xml:space="preserve">(art. 49, par. 3) </w:t>
      </w:r>
      <w:r w:rsidRPr="00123A4F">
        <w:rPr>
          <w:rFonts w:ascii="Times New Roman" w:hAnsi="Times New Roman" w:cs="Times New Roman"/>
        </w:rPr>
        <w:t>si intersecano innegabilmente con principi supremi dell’ordinamento costituzionale</w:t>
      </w:r>
      <w:r w:rsidR="00FE5759" w:rsidRPr="00123A4F">
        <w:rPr>
          <w:rFonts w:ascii="Times New Roman" w:hAnsi="Times New Roman" w:cs="Times New Roman"/>
        </w:rPr>
        <w:t xml:space="preserve"> (art. 27 Cost.).</w:t>
      </w:r>
    </w:p>
  </w:footnote>
  <w:footnote w:id="49">
    <w:p w14:paraId="3F4F25B0" w14:textId="60A22E37" w:rsidR="00F31464" w:rsidRPr="00123A4F" w:rsidRDefault="00F31464">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L’</w:t>
      </w:r>
      <w:proofErr w:type="spellStart"/>
      <w:r w:rsidRPr="00123A4F">
        <w:rPr>
          <w:rFonts w:ascii="Times New Roman" w:hAnsi="Times New Roman" w:cs="Times New Roman"/>
        </w:rPr>
        <w:t>ord</w:t>
      </w:r>
      <w:proofErr w:type="spellEnd"/>
      <w:r w:rsidRPr="00123A4F">
        <w:rPr>
          <w:rFonts w:ascii="Times New Roman" w:hAnsi="Times New Roman" w:cs="Times New Roman"/>
        </w:rPr>
        <w:t>. n. 21 del 2025 rappresenta il primo rinvio pregiudiziale ‘post 181’.</w:t>
      </w:r>
    </w:p>
  </w:footnote>
  <w:footnote w:id="50">
    <w:p w14:paraId="3AB6126D" w14:textId="0B178193" w:rsidR="004E2D63" w:rsidRPr="00123A4F" w:rsidRDefault="004E2D63" w:rsidP="00C40D01">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S</w:t>
      </w:r>
      <w:r w:rsidRPr="00123A4F">
        <w:rPr>
          <w:rFonts w:ascii="Times New Roman" w:hAnsi="Times New Roman" w:cs="Times New Roman"/>
        </w:rPr>
        <w:t xml:space="preserve">pecie se si </w:t>
      </w:r>
      <w:r w:rsidR="00EB3A61" w:rsidRPr="00123A4F">
        <w:rPr>
          <w:rFonts w:ascii="Times New Roman" w:hAnsi="Times New Roman" w:cs="Times New Roman"/>
        </w:rPr>
        <w:t>considera</w:t>
      </w:r>
      <w:r w:rsidRPr="00123A4F">
        <w:rPr>
          <w:rFonts w:ascii="Times New Roman" w:hAnsi="Times New Roman" w:cs="Times New Roman"/>
        </w:rPr>
        <w:t xml:space="preserve"> che molti rinvii pregiudiziali</w:t>
      </w:r>
      <w:r w:rsidR="002B7464" w:rsidRPr="00123A4F">
        <w:rPr>
          <w:rFonts w:ascii="Times New Roman" w:hAnsi="Times New Roman" w:cs="Times New Roman"/>
        </w:rPr>
        <w:t xml:space="preserve"> </w:t>
      </w:r>
      <w:r w:rsidRPr="00123A4F">
        <w:rPr>
          <w:rFonts w:ascii="Times New Roman" w:hAnsi="Times New Roman" w:cs="Times New Roman"/>
        </w:rPr>
        <w:t>insistono sulla medesima norma interna</w:t>
      </w:r>
      <w:r w:rsidR="002B7464" w:rsidRPr="00123A4F">
        <w:rPr>
          <w:rFonts w:ascii="Times New Roman" w:hAnsi="Times New Roman" w:cs="Times New Roman"/>
        </w:rPr>
        <w:t xml:space="preserve">, come sta accadendo </w:t>
      </w:r>
      <w:r w:rsidR="005858F8" w:rsidRPr="00123A4F">
        <w:rPr>
          <w:rFonts w:ascii="Times New Roman" w:hAnsi="Times New Roman" w:cs="Times New Roman"/>
        </w:rPr>
        <w:t xml:space="preserve">ora </w:t>
      </w:r>
      <w:r w:rsidR="002B7464" w:rsidRPr="00123A4F">
        <w:rPr>
          <w:rFonts w:ascii="Times New Roman" w:hAnsi="Times New Roman" w:cs="Times New Roman"/>
        </w:rPr>
        <w:t xml:space="preserve">con il </w:t>
      </w:r>
      <w:r w:rsidR="005858F8" w:rsidRPr="00123A4F">
        <w:rPr>
          <w:rFonts w:ascii="Times New Roman" w:hAnsi="Times New Roman" w:cs="Times New Roman"/>
        </w:rPr>
        <w:t xml:space="preserve">c.d. </w:t>
      </w:r>
      <w:r w:rsidR="002B7464" w:rsidRPr="00123A4F">
        <w:rPr>
          <w:rFonts w:ascii="Times New Roman" w:hAnsi="Times New Roman" w:cs="Times New Roman"/>
        </w:rPr>
        <w:t xml:space="preserve">decreto </w:t>
      </w:r>
      <w:r w:rsidR="005858F8" w:rsidRPr="00123A4F">
        <w:rPr>
          <w:rFonts w:ascii="Times New Roman" w:hAnsi="Times New Roman" w:cs="Times New Roman"/>
        </w:rPr>
        <w:t>“</w:t>
      </w:r>
      <w:r w:rsidR="002B7464" w:rsidRPr="00123A4F">
        <w:rPr>
          <w:rFonts w:ascii="Times New Roman" w:hAnsi="Times New Roman" w:cs="Times New Roman"/>
        </w:rPr>
        <w:t>Paesi sicuri</w:t>
      </w:r>
      <w:r w:rsidR="005858F8" w:rsidRPr="00123A4F">
        <w:rPr>
          <w:rFonts w:ascii="Times New Roman" w:hAnsi="Times New Roman" w:cs="Times New Roman"/>
        </w:rPr>
        <w:t>”</w:t>
      </w:r>
      <w:r w:rsidRPr="00123A4F">
        <w:rPr>
          <w:rFonts w:ascii="Times New Roman" w:hAnsi="Times New Roman" w:cs="Times New Roman"/>
        </w:rPr>
        <w:t>.</w:t>
      </w:r>
    </w:p>
  </w:footnote>
  <w:footnote w:id="51">
    <w:p w14:paraId="46618000" w14:textId="58BD5B2B" w:rsidR="006E0AF0" w:rsidRPr="00123A4F" w:rsidRDefault="006E0AF0" w:rsidP="006E0AF0">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902EE4" w:rsidRPr="00123A4F">
        <w:rPr>
          <w:rFonts w:ascii="Times New Roman" w:hAnsi="Times New Roman" w:cs="Times New Roman"/>
        </w:rPr>
        <w:t>Nel senso in cui lo intendeva</w:t>
      </w:r>
      <w:r w:rsidR="00FE5759" w:rsidRPr="00123A4F">
        <w:rPr>
          <w:rFonts w:ascii="Times New Roman" w:hAnsi="Times New Roman" w:cs="Times New Roman"/>
        </w:rPr>
        <w:t xml:space="preserve"> </w:t>
      </w:r>
      <w:r w:rsidR="00FE5759" w:rsidRPr="00123A4F">
        <w:rPr>
          <w:rFonts w:ascii="Times New Roman" w:hAnsi="Times New Roman" w:cs="Times New Roman"/>
          <w:smallCaps/>
        </w:rPr>
        <w:t>F.</w:t>
      </w:r>
      <w:r w:rsidRPr="00123A4F">
        <w:rPr>
          <w:rFonts w:ascii="Times New Roman" w:hAnsi="Times New Roman" w:cs="Times New Roman"/>
          <w:smallCaps/>
        </w:rPr>
        <w:t xml:space="preserve"> Lope</w:t>
      </w:r>
      <w:r w:rsidR="000E39B0" w:rsidRPr="00123A4F">
        <w:rPr>
          <w:rFonts w:ascii="Times New Roman" w:hAnsi="Times New Roman" w:cs="Times New Roman"/>
          <w:smallCaps/>
        </w:rPr>
        <w:t>z</w:t>
      </w:r>
      <w:r w:rsidRPr="00123A4F">
        <w:rPr>
          <w:rFonts w:ascii="Times New Roman" w:hAnsi="Times New Roman" w:cs="Times New Roman"/>
          <w:smallCaps/>
        </w:rPr>
        <w:t xml:space="preserve"> de O</w:t>
      </w:r>
      <w:r w:rsidR="00F145DA" w:rsidRPr="00123A4F">
        <w:rPr>
          <w:rFonts w:ascii="Times New Roman" w:hAnsi="Times New Roman" w:cs="Times New Roman"/>
          <w:smallCaps/>
        </w:rPr>
        <w:t>ñ</w:t>
      </w:r>
      <w:r w:rsidRPr="00123A4F">
        <w:rPr>
          <w:rFonts w:ascii="Times New Roman" w:hAnsi="Times New Roman" w:cs="Times New Roman"/>
          <w:smallCaps/>
        </w:rPr>
        <w:t>at</w:t>
      </w:r>
      <w:r w:rsidR="00FE5759" w:rsidRPr="00123A4F">
        <w:rPr>
          <w:rFonts w:ascii="Times New Roman" w:hAnsi="Times New Roman" w:cs="Times New Roman"/>
          <w:smallCaps/>
        </w:rPr>
        <w:t>e</w:t>
      </w:r>
      <w:r w:rsidR="00FE5759" w:rsidRPr="00123A4F">
        <w:rPr>
          <w:rFonts w:ascii="Times New Roman" w:hAnsi="Times New Roman" w:cs="Times New Roman"/>
        </w:rPr>
        <w:t xml:space="preserve">, </w:t>
      </w:r>
      <w:r w:rsidR="00FE5759" w:rsidRPr="00123A4F">
        <w:rPr>
          <w:rFonts w:ascii="Times New Roman" w:hAnsi="Times New Roman" w:cs="Times New Roman"/>
          <w:i/>
          <w:iCs/>
        </w:rPr>
        <w:t>La certezza del diritto</w:t>
      </w:r>
      <w:r w:rsidR="00FE5759" w:rsidRPr="00123A4F">
        <w:rPr>
          <w:rFonts w:ascii="Times New Roman" w:hAnsi="Times New Roman" w:cs="Times New Roman"/>
        </w:rPr>
        <w:t xml:space="preserve">, </w:t>
      </w:r>
      <w:proofErr w:type="spellStart"/>
      <w:r w:rsidR="00F145DA" w:rsidRPr="00123A4F">
        <w:rPr>
          <w:rFonts w:ascii="Times New Roman" w:hAnsi="Times New Roman" w:cs="Times New Roman"/>
        </w:rPr>
        <w:t>rist</w:t>
      </w:r>
      <w:proofErr w:type="spellEnd"/>
      <w:r w:rsidR="00F145DA" w:rsidRPr="00123A4F">
        <w:rPr>
          <w:rFonts w:ascii="Times New Roman" w:hAnsi="Times New Roman" w:cs="Times New Roman"/>
        </w:rPr>
        <w:t xml:space="preserve">. a cura di G. Astuti, Roma, </w:t>
      </w:r>
      <w:r w:rsidR="00FE5759" w:rsidRPr="00123A4F">
        <w:rPr>
          <w:rFonts w:ascii="Times New Roman" w:hAnsi="Times New Roman" w:cs="Times New Roman"/>
        </w:rPr>
        <w:t>1950.</w:t>
      </w:r>
    </w:p>
  </w:footnote>
  <w:footnote w:id="52">
    <w:p w14:paraId="513AEF0A" w14:textId="749EF66F" w:rsidR="00BB0BFB" w:rsidRPr="00123A4F" w:rsidRDefault="00BB0BFB">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 xml:space="preserve">Il riferimento è almeno a </w:t>
      </w:r>
      <w:r w:rsidRPr="00123A4F">
        <w:rPr>
          <w:rFonts w:ascii="Times New Roman" w:hAnsi="Times New Roman" w:cs="Times New Roman"/>
        </w:rPr>
        <w:t xml:space="preserve">Corte cost. </w:t>
      </w:r>
      <w:proofErr w:type="spellStart"/>
      <w:r w:rsidRPr="00123A4F">
        <w:rPr>
          <w:rFonts w:ascii="Times New Roman" w:hAnsi="Times New Roman" w:cs="Times New Roman"/>
        </w:rPr>
        <w:t>sent</w:t>
      </w:r>
      <w:proofErr w:type="spellEnd"/>
      <w:r w:rsidRPr="00123A4F">
        <w:rPr>
          <w:rFonts w:ascii="Times New Roman" w:hAnsi="Times New Roman" w:cs="Times New Roman"/>
        </w:rPr>
        <w:t>. 38</w:t>
      </w:r>
      <w:r w:rsidR="00FE5759" w:rsidRPr="00123A4F">
        <w:rPr>
          <w:rFonts w:ascii="Times New Roman" w:hAnsi="Times New Roman" w:cs="Times New Roman"/>
        </w:rPr>
        <w:t xml:space="preserve"> del </w:t>
      </w:r>
      <w:r w:rsidRPr="00123A4F">
        <w:rPr>
          <w:rFonts w:ascii="Times New Roman" w:hAnsi="Times New Roman" w:cs="Times New Roman"/>
        </w:rPr>
        <w:t>1957</w:t>
      </w:r>
      <w:r w:rsidR="00FE5759" w:rsidRPr="00123A4F">
        <w:rPr>
          <w:rFonts w:ascii="Times New Roman" w:hAnsi="Times New Roman" w:cs="Times New Roman"/>
        </w:rPr>
        <w:t>.</w:t>
      </w:r>
    </w:p>
  </w:footnote>
  <w:footnote w:id="53">
    <w:p w14:paraId="25784875" w14:textId="4505DF59" w:rsidR="006E0AF0" w:rsidRPr="00123A4F" w:rsidRDefault="006E0AF0" w:rsidP="00FE5759">
      <w:pPr>
        <w:pStyle w:val="Testonotaapidipagina"/>
        <w:suppressAutoHyphens/>
        <w:autoSpaceDN w:val="0"/>
        <w:spacing w:line="200" w:lineRule="atLeast"/>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 xml:space="preserve">Si vedano almeno </w:t>
      </w:r>
      <w:r w:rsidR="00FE5759" w:rsidRPr="00123A4F">
        <w:rPr>
          <w:rFonts w:ascii="Times New Roman" w:hAnsi="Times New Roman" w:cs="Times New Roman"/>
          <w:smallCaps/>
        </w:rPr>
        <w:t>R. Mastroianni</w:t>
      </w:r>
      <w:r w:rsidR="00FE5759" w:rsidRPr="00123A4F">
        <w:rPr>
          <w:rFonts w:ascii="Times New Roman" w:hAnsi="Times New Roman" w:cs="Times New Roman"/>
        </w:rPr>
        <w:t xml:space="preserve">, </w:t>
      </w:r>
      <w:r w:rsidR="00FE5759" w:rsidRPr="00123A4F">
        <w:rPr>
          <w:rFonts w:ascii="Times New Roman" w:hAnsi="Times New Roman" w:cs="Times New Roman"/>
          <w:i/>
          <w:iCs/>
        </w:rPr>
        <w:t>La sentenza della Corte costituzionale n. 181 del 2024</w:t>
      </w:r>
      <w:r w:rsidR="00FE5759" w:rsidRPr="00123A4F">
        <w:rPr>
          <w:rFonts w:ascii="Times New Roman" w:hAnsi="Times New Roman" w:cs="Times New Roman"/>
        </w:rPr>
        <w:t xml:space="preserve">, op. cit., p. 20 ss.; </w:t>
      </w:r>
      <w:r w:rsidR="000E39B0" w:rsidRPr="00123A4F">
        <w:rPr>
          <w:rFonts w:ascii="Times New Roman" w:hAnsi="Times New Roman" w:cs="Times New Roman"/>
        </w:rPr>
        <w:t xml:space="preserve">D. </w:t>
      </w:r>
      <w:r w:rsidR="00FE5759" w:rsidRPr="00123A4F">
        <w:rPr>
          <w:rFonts w:ascii="Times New Roman" w:hAnsi="Times New Roman" w:cs="Times New Roman"/>
          <w:smallCaps/>
        </w:rPr>
        <w:t>Gallo</w:t>
      </w:r>
      <w:r w:rsidR="00FE5759" w:rsidRPr="00123A4F">
        <w:rPr>
          <w:rFonts w:ascii="Times New Roman" w:hAnsi="Times New Roman" w:cs="Times New Roman"/>
        </w:rPr>
        <w:t xml:space="preserve">, </w:t>
      </w:r>
      <w:r w:rsidR="00FE5759" w:rsidRPr="00123A4F">
        <w:rPr>
          <w:rFonts w:ascii="Times New Roman" w:hAnsi="Times New Roman" w:cs="Times New Roman"/>
          <w:i/>
          <w:iCs/>
        </w:rPr>
        <w:t>L’effetto diretto e il nodo (di quel che rimane) della dottrina della doppia pregiudizialità</w:t>
      </w:r>
      <w:r w:rsidR="00FE5759" w:rsidRPr="00123A4F">
        <w:rPr>
          <w:rFonts w:ascii="Times New Roman" w:hAnsi="Times New Roman" w:cs="Times New Roman"/>
        </w:rPr>
        <w:t xml:space="preserve">, in </w:t>
      </w:r>
      <w:r w:rsidR="00FE5759" w:rsidRPr="00123A4F">
        <w:rPr>
          <w:rFonts w:ascii="Times New Roman" w:hAnsi="Times New Roman" w:cs="Times New Roman"/>
          <w:i/>
          <w:iCs/>
        </w:rPr>
        <w:t>Rivista del Contenzioso europeo</w:t>
      </w:r>
      <w:r w:rsidR="00FE5759" w:rsidRPr="00123A4F">
        <w:rPr>
          <w:rFonts w:ascii="Times New Roman" w:hAnsi="Times New Roman" w:cs="Times New Roman"/>
        </w:rPr>
        <w:t xml:space="preserve">, 2025, 1, p. 11 ss.; </w:t>
      </w:r>
      <w:r w:rsidR="00FE5759" w:rsidRPr="00123A4F">
        <w:rPr>
          <w:rFonts w:ascii="Times New Roman" w:hAnsi="Times New Roman" w:cs="Times New Roman"/>
          <w:smallCaps/>
        </w:rPr>
        <w:t>S. Sciarra</w:t>
      </w:r>
      <w:r w:rsidR="00FE5759" w:rsidRPr="00123A4F">
        <w:rPr>
          <w:rFonts w:ascii="Times New Roman" w:hAnsi="Times New Roman" w:cs="Times New Roman"/>
        </w:rPr>
        <w:t xml:space="preserve">, </w:t>
      </w:r>
      <w:r w:rsidR="00FE5759" w:rsidRPr="00123A4F">
        <w:rPr>
          <w:rFonts w:ascii="Times New Roman" w:hAnsi="Times New Roman" w:cs="Times New Roman"/>
          <w:i/>
          <w:iCs/>
        </w:rPr>
        <w:t>Antonio La Pergola e l’Europa del diritto</w:t>
      </w:r>
      <w:r w:rsidR="00FE5759" w:rsidRPr="00123A4F">
        <w:rPr>
          <w:rFonts w:ascii="Times New Roman" w:hAnsi="Times New Roman" w:cs="Times New Roman"/>
        </w:rPr>
        <w:t xml:space="preserve">, op. cit., p. 213 ss., </w:t>
      </w:r>
      <w:r w:rsidR="00FE5759" w:rsidRPr="00123A4F">
        <w:rPr>
          <w:rFonts w:ascii="Times New Roman" w:hAnsi="Times New Roman" w:cs="Times New Roman"/>
          <w:smallCaps/>
        </w:rPr>
        <w:t>C. Amalfitano</w:t>
      </w:r>
      <w:r w:rsidR="00FE5759" w:rsidRPr="00123A4F">
        <w:rPr>
          <w:rFonts w:ascii="Times New Roman" w:hAnsi="Times New Roman" w:cs="Times New Roman"/>
        </w:rPr>
        <w:t xml:space="preserve">, </w:t>
      </w:r>
      <w:r w:rsidR="00FE5759" w:rsidRPr="00123A4F">
        <w:rPr>
          <w:rFonts w:ascii="Times New Roman" w:hAnsi="Times New Roman" w:cs="Times New Roman"/>
          <w:i/>
          <w:iCs/>
        </w:rPr>
        <w:t xml:space="preserve">Tanto tuonò che piovve. Abbandonare </w:t>
      </w:r>
      <w:proofErr w:type="spellStart"/>
      <w:r w:rsidR="00FE5759" w:rsidRPr="00123A4F">
        <w:rPr>
          <w:rFonts w:ascii="Times New Roman" w:hAnsi="Times New Roman" w:cs="Times New Roman"/>
          <w:i/>
          <w:iCs/>
        </w:rPr>
        <w:t>Granital</w:t>
      </w:r>
      <w:proofErr w:type="spellEnd"/>
      <w:r w:rsidR="00FE5759" w:rsidRPr="00123A4F">
        <w:rPr>
          <w:rFonts w:ascii="Times New Roman" w:hAnsi="Times New Roman" w:cs="Times New Roman"/>
        </w:rPr>
        <w:t>, op. cit., p. 2637 ss.</w:t>
      </w:r>
    </w:p>
  </w:footnote>
  <w:footnote w:id="54">
    <w:p w14:paraId="12807CC9" w14:textId="6221207C" w:rsidR="006E0AF0" w:rsidRPr="00123A4F" w:rsidRDefault="006E0AF0"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00FE5759" w:rsidRPr="00123A4F">
        <w:rPr>
          <w:rFonts w:ascii="Times New Roman" w:hAnsi="Times New Roman" w:cs="Times New Roman"/>
        </w:rPr>
        <w:t xml:space="preserve"> I</w:t>
      </w:r>
      <w:r w:rsidRPr="00123A4F">
        <w:rPr>
          <w:rFonts w:ascii="Times New Roman" w:hAnsi="Times New Roman" w:cs="Times New Roman"/>
        </w:rPr>
        <w:t xml:space="preserve">nsiste particolarmente sul punto </w:t>
      </w:r>
      <w:r w:rsidR="00FE5759" w:rsidRPr="00123A4F">
        <w:rPr>
          <w:rFonts w:ascii="Times New Roman" w:hAnsi="Times New Roman" w:cs="Times New Roman"/>
          <w:smallCaps/>
        </w:rPr>
        <w:t>R. Mastroianni</w:t>
      </w:r>
      <w:r w:rsidR="00FE5759" w:rsidRPr="00123A4F">
        <w:rPr>
          <w:rFonts w:ascii="Times New Roman" w:hAnsi="Times New Roman" w:cs="Times New Roman"/>
        </w:rPr>
        <w:t xml:space="preserve">, </w:t>
      </w:r>
      <w:r w:rsidR="00FE5759" w:rsidRPr="00123A4F">
        <w:rPr>
          <w:rFonts w:ascii="Times New Roman" w:hAnsi="Times New Roman" w:cs="Times New Roman"/>
          <w:i/>
          <w:iCs/>
        </w:rPr>
        <w:t>La sentenza della Corte costituzionale n. 181 del 2024</w:t>
      </w:r>
      <w:r w:rsidR="00FE5759" w:rsidRPr="00123A4F">
        <w:rPr>
          <w:rFonts w:ascii="Times New Roman" w:hAnsi="Times New Roman" w:cs="Times New Roman"/>
        </w:rPr>
        <w:t xml:space="preserve">, op. cit., pp. </w:t>
      </w:r>
      <w:r w:rsidRPr="00123A4F">
        <w:rPr>
          <w:rFonts w:ascii="Times New Roman" w:hAnsi="Times New Roman" w:cs="Times New Roman"/>
        </w:rPr>
        <w:t>17-18</w:t>
      </w:r>
      <w:r w:rsidR="00FE5759" w:rsidRPr="00123A4F">
        <w:rPr>
          <w:rFonts w:ascii="Times New Roman" w:hAnsi="Times New Roman" w:cs="Times New Roman"/>
        </w:rPr>
        <w:t>.</w:t>
      </w:r>
    </w:p>
  </w:footnote>
  <w:footnote w:id="55">
    <w:p w14:paraId="24C5B692" w14:textId="3DDA9C44" w:rsidR="00FE5759" w:rsidRPr="00123A4F" w:rsidRDefault="00FE5759" w:rsidP="00FE5759">
      <w:pPr>
        <w:pStyle w:val="Testonotaapidipagina"/>
        <w:spacing w:line="200" w:lineRule="atLeast"/>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CGUE (Grande Sezione), sentenza </w:t>
      </w:r>
      <w:r w:rsidRPr="00123A4F">
        <w:rPr>
          <w:rFonts w:ascii="Times New Roman" w:hAnsi="Times New Roman" w:cs="Times New Roman"/>
          <w:i/>
          <w:iCs/>
        </w:rPr>
        <w:t>RS</w:t>
      </w:r>
      <w:r w:rsidRPr="00123A4F">
        <w:rPr>
          <w:rFonts w:ascii="Times New Roman" w:hAnsi="Times New Roman" w:cs="Times New Roman"/>
        </w:rPr>
        <w:t xml:space="preserve">, cit., punto 53, corsivi aggiunti. </w:t>
      </w:r>
    </w:p>
  </w:footnote>
  <w:footnote w:id="56">
    <w:p w14:paraId="5B9927BD" w14:textId="55E2DD27" w:rsidR="00E13695" w:rsidRPr="00123A4F" w:rsidRDefault="00E13695" w:rsidP="00E13695">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Sul punto </w:t>
      </w:r>
      <w:r w:rsidR="00571D23" w:rsidRPr="00123A4F">
        <w:rPr>
          <w:rFonts w:ascii="Times New Roman" w:hAnsi="Times New Roman" w:cs="Times New Roman"/>
        </w:rPr>
        <w:t xml:space="preserve">si sofferma </w:t>
      </w:r>
      <w:r w:rsidRPr="00123A4F">
        <w:rPr>
          <w:rFonts w:ascii="Times New Roman" w:hAnsi="Times New Roman" w:cs="Times New Roman"/>
        </w:rPr>
        <w:t xml:space="preserve">la relazione del Presidente Amoroso relativa all’anno 2024. Cfr. </w:t>
      </w:r>
      <w:r w:rsidRPr="00123A4F">
        <w:rPr>
          <w:rFonts w:ascii="Times New Roman" w:hAnsi="Times New Roman" w:cs="Times New Roman"/>
          <w:smallCaps/>
        </w:rPr>
        <w:t>G. Amoroso,</w:t>
      </w:r>
      <w:r w:rsidRPr="00123A4F">
        <w:rPr>
          <w:rFonts w:ascii="Times New Roman" w:hAnsi="Times New Roman" w:cs="Times New Roman"/>
        </w:rPr>
        <w:t xml:space="preserve"> </w:t>
      </w:r>
      <w:r w:rsidRPr="00123A4F">
        <w:rPr>
          <w:rFonts w:ascii="Times New Roman" w:hAnsi="Times New Roman" w:cs="Times New Roman"/>
          <w:i/>
          <w:iCs/>
        </w:rPr>
        <w:t>Relazione sull’attività della Corte costituzionale relativa all’anno 2024</w:t>
      </w:r>
      <w:r w:rsidR="00571D23" w:rsidRPr="00123A4F">
        <w:rPr>
          <w:rFonts w:ascii="Times New Roman" w:hAnsi="Times New Roman" w:cs="Times New Roman"/>
          <w:i/>
          <w:iCs/>
        </w:rPr>
        <w:t>.</w:t>
      </w:r>
      <w:r w:rsidRPr="00123A4F">
        <w:rPr>
          <w:rFonts w:ascii="Times New Roman" w:hAnsi="Times New Roman" w:cs="Times New Roman"/>
          <w:i/>
          <w:iCs/>
        </w:rPr>
        <w:t xml:space="preserve"> Atti della Corte costituzionale</w:t>
      </w:r>
      <w:r w:rsidRPr="00123A4F">
        <w:rPr>
          <w:rFonts w:ascii="Times New Roman" w:hAnsi="Times New Roman" w:cs="Times New Roman"/>
        </w:rPr>
        <w:t>, 11 aprile 2025, p. 4: «[i]I tempi di decisione della Corte – calcolati nell’intervallo di tempo tra la pubblicazione in Gazzetta Ufficiale dell’atto di promovimento e la data di trattazione – restano ragionevolmente brevi e si sono ulteriormente ridotti nel 2024, specie per i giudizi in via incidentale: la media dei giorni trascorsi è stata, infatti, di 191, valore decisamente inferiore a quello dei tre anni precedenti (227 giorni nel 2023, 292 nel 2022 e 245 nel 2021)».</w:t>
      </w:r>
    </w:p>
  </w:footnote>
  <w:footnote w:id="57">
    <w:p w14:paraId="5B266B22" w14:textId="7FFAE8B2" w:rsidR="00E13695" w:rsidRPr="00123A4F" w:rsidRDefault="00E13695"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Sul punto v. </w:t>
      </w:r>
      <w:r w:rsidRPr="00123A4F">
        <w:rPr>
          <w:rFonts w:ascii="Times New Roman" w:hAnsi="Times New Roman" w:cs="Times New Roman"/>
          <w:smallCaps/>
        </w:rPr>
        <w:t>R. Schiano, C. Di Bella</w:t>
      </w:r>
      <w:r w:rsidRPr="00123A4F">
        <w:rPr>
          <w:rFonts w:ascii="Times New Roman" w:hAnsi="Times New Roman" w:cs="Times New Roman"/>
        </w:rPr>
        <w:t xml:space="preserve">, </w:t>
      </w:r>
      <w:r w:rsidRPr="00123A4F">
        <w:rPr>
          <w:rFonts w:ascii="Times New Roman" w:hAnsi="Times New Roman" w:cs="Times New Roman"/>
          <w:i/>
          <w:iCs/>
        </w:rPr>
        <w:t>La procedura del rinvio pregiudiziale,</w:t>
      </w:r>
      <w:r w:rsidRPr="00123A4F">
        <w:rPr>
          <w:rFonts w:ascii="Times New Roman" w:hAnsi="Times New Roman" w:cs="Times New Roman"/>
        </w:rPr>
        <w:t xml:space="preserve"> in </w:t>
      </w:r>
      <w:r w:rsidRPr="00123A4F">
        <w:rPr>
          <w:rFonts w:ascii="Times New Roman" w:hAnsi="Times New Roman" w:cs="Times New Roman"/>
          <w:smallCaps/>
        </w:rPr>
        <w:t>F. Ferraro, C. Iannone</w:t>
      </w:r>
      <w:r w:rsidRPr="00123A4F">
        <w:rPr>
          <w:rFonts w:ascii="Times New Roman" w:hAnsi="Times New Roman" w:cs="Times New Roman"/>
        </w:rPr>
        <w:t xml:space="preserve"> (a cura di), </w:t>
      </w:r>
      <w:r w:rsidRPr="00123A4F">
        <w:rPr>
          <w:rFonts w:ascii="Times New Roman" w:hAnsi="Times New Roman" w:cs="Times New Roman"/>
          <w:i/>
          <w:iCs/>
        </w:rPr>
        <w:t>Il rinvio pregiudiziale</w:t>
      </w:r>
      <w:r w:rsidRPr="00123A4F">
        <w:rPr>
          <w:rFonts w:ascii="Times New Roman" w:hAnsi="Times New Roman" w:cs="Times New Roman"/>
        </w:rPr>
        <w:t>, Torino, 2024, p. 259.</w:t>
      </w:r>
    </w:p>
  </w:footnote>
  <w:footnote w:id="58">
    <w:p w14:paraId="32762292" w14:textId="5AB33AB9" w:rsidR="00B02BDF" w:rsidRPr="00123A4F" w:rsidRDefault="00B02BDF"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L’importanza che i rimedi provvisori rivestono nel quadro delle garanzie della </w:t>
      </w:r>
      <w:proofErr w:type="spellStart"/>
      <w:r w:rsidRPr="00123A4F">
        <w:rPr>
          <w:rFonts w:ascii="Times New Roman" w:hAnsi="Times New Roman" w:cs="Times New Roman"/>
          <w:i/>
          <w:iCs/>
        </w:rPr>
        <w:t>primauté</w:t>
      </w:r>
      <w:proofErr w:type="spellEnd"/>
      <w:r w:rsidRPr="00123A4F">
        <w:rPr>
          <w:rFonts w:ascii="Times New Roman" w:hAnsi="Times New Roman" w:cs="Times New Roman"/>
        </w:rPr>
        <w:t xml:space="preserve"> è, del resto, costantemente riconosciuta dalla Corte di Giustizia, la quale, a partire dalla celebre sentenza </w:t>
      </w:r>
      <w:proofErr w:type="spellStart"/>
      <w:r w:rsidRPr="00123A4F">
        <w:rPr>
          <w:rFonts w:ascii="Times New Roman" w:hAnsi="Times New Roman" w:cs="Times New Roman"/>
        </w:rPr>
        <w:t>Factortame</w:t>
      </w:r>
      <w:proofErr w:type="spellEnd"/>
      <w:r w:rsidR="00FF3EEB" w:rsidRPr="00123A4F">
        <w:rPr>
          <w:rFonts w:ascii="Times New Roman" w:hAnsi="Times New Roman" w:cs="Times New Roman"/>
        </w:rPr>
        <w:t xml:space="preserve"> (CGUE, sentenza 19 giugno 1990, C-213/1989, </w:t>
      </w:r>
      <w:r w:rsidR="00FF3EEB" w:rsidRPr="00123A4F">
        <w:rPr>
          <w:rFonts w:ascii="Times New Roman" w:hAnsi="Times New Roman" w:cs="Times New Roman"/>
          <w:i/>
          <w:iCs/>
        </w:rPr>
        <w:t xml:space="preserve">The Queen c. </w:t>
      </w:r>
      <w:proofErr w:type="spellStart"/>
      <w:r w:rsidR="00FF3EEB" w:rsidRPr="00123A4F">
        <w:rPr>
          <w:rFonts w:ascii="Times New Roman" w:hAnsi="Times New Roman" w:cs="Times New Roman"/>
          <w:i/>
          <w:iCs/>
        </w:rPr>
        <w:t>Secretary</w:t>
      </w:r>
      <w:proofErr w:type="spellEnd"/>
      <w:r w:rsidR="00FF3EEB" w:rsidRPr="00123A4F">
        <w:rPr>
          <w:rFonts w:ascii="Times New Roman" w:hAnsi="Times New Roman" w:cs="Times New Roman"/>
          <w:i/>
          <w:iCs/>
        </w:rPr>
        <w:t xml:space="preserve"> of State for </w:t>
      </w:r>
      <w:proofErr w:type="spellStart"/>
      <w:r w:rsidR="00FF3EEB" w:rsidRPr="00123A4F">
        <w:rPr>
          <w:rFonts w:ascii="Times New Roman" w:hAnsi="Times New Roman" w:cs="Times New Roman"/>
          <w:i/>
          <w:iCs/>
        </w:rPr>
        <w:t>Transport</w:t>
      </w:r>
      <w:proofErr w:type="spellEnd"/>
      <w:r w:rsidR="00FF3EEB" w:rsidRPr="00123A4F">
        <w:rPr>
          <w:rFonts w:ascii="Times New Roman" w:hAnsi="Times New Roman" w:cs="Times New Roman"/>
          <w:i/>
          <w:iCs/>
        </w:rPr>
        <w:t xml:space="preserve">, ex parte </w:t>
      </w:r>
      <w:proofErr w:type="spellStart"/>
      <w:r w:rsidR="00FF3EEB" w:rsidRPr="00123A4F">
        <w:rPr>
          <w:rFonts w:ascii="Times New Roman" w:hAnsi="Times New Roman" w:cs="Times New Roman"/>
          <w:i/>
          <w:iCs/>
        </w:rPr>
        <w:t>Factortame</w:t>
      </w:r>
      <w:proofErr w:type="spellEnd"/>
      <w:r w:rsidR="00FF3EEB" w:rsidRPr="00123A4F">
        <w:rPr>
          <w:rFonts w:ascii="Times New Roman" w:hAnsi="Times New Roman" w:cs="Times New Roman"/>
          <w:i/>
          <w:iCs/>
        </w:rPr>
        <w:t xml:space="preserve"> Ltd e altri</w:t>
      </w:r>
      <w:r w:rsidR="00FF3EEB" w:rsidRPr="00123A4F">
        <w:rPr>
          <w:rFonts w:ascii="Times New Roman" w:hAnsi="Times New Roman" w:cs="Times New Roman"/>
        </w:rPr>
        <w:t>)</w:t>
      </w:r>
      <w:r w:rsidRPr="00123A4F">
        <w:rPr>
          <w:rFonts w:ascii="Times New Roman" w:hAnsi="Times New Roman" w:cs="Times New Roman"/>
        </w:rPr>
        <w:t xml:space="preserve">, ha avuto modo di precisare che la piena efficacia «del diritto comunitario sarebbe […] ridotta se una norma di diritto nazionale potesse impedire al giudice chiamato a dirimere una controversia disciplinata dal diritto comunitario di concedere provvedimenti provvisori allo scopo di garantire la piena efficacia della pronuncia giurisdizionale sull' esistenza dei diritti invocati in forza del diritto comunitario» </w:t>
      </w:r>
      <w:r w:rsidR="00FF3EEB" w:rsidRPr="00123A4F">
        <w:rPr>
          <w:rFonts w:ascii="Times New Roman" w:hAnsi="Times New Roman" w:cs="Times New Roman"/>
        </w:rPr>
        <w:t>(punto 21)</w:t>
      </w:r>
      <w:r w:rsidRPr="00123A4F">
        <w:rPr>
          <w:rFonts w:ascii="Times New Roman" w:hAnsi="Times New Roman" w:cs="Times New Roman"/>
        </w:rPr>
        <w:t>.</w:t>
      </w:r>
    </w:p>
  </w:footnote>
  <w:footnote w:id="59">
    <w:p w14:paraId="11492520" w14:textId="77777777" w:rsidR="00A4639E" w:rsidRPr="00123A4F" w:rsidRDefault="00A4639E" w:rsidP="000E39B0">
      <w:pPr>
        <w:spacing w:after="0"/>
        <w:jc w:val="both"/>
        <w:rPr>
          <w:rFonts w:ascii="Times New Roman" w:hAnsi="Times New Roman" w:cs="Times New Roman"/>
          <w:sz w:val="20"/>
          <w:szCs w:val="20"/>
        </w:rPr>
      </w:pPr>
      <w:r w:rsidRPr="00123A4F">
        <w:rPr>
          <w:rStyle w:val="Rimandonotaapidipagina"/>
          <w:rFonts w:ascii="Times New Roman" w:hAnsi="Times New Roman" w:cs="Times New Roman"/>
          <w:sz w:val="20"/>
          <w:szCs w:val="20"/>
        </w:rPr>
        <w:footnoteRef/>
      </w:r>
      <w:r w:rsidRPr="00123A4F">
        <w:rPr>
          <w:rFonts w:ascii="Times New Roman" w:hAnsi="Times New Roman" w:cs="Times New Roman"/>
          <w:sz w:val="20"/>
          <w:szCs w:val="20"/>
        </w:rPr>
        <w:t xml:space="preserve"> </w:t>
      </w:r>
      <w:r w:rsidRPr="00123A4F">
        <w:rPr>
          <w:rFonts w:ascii="Times New Roman" w:hAnsi="Times New Roman" w:cs="Times New Roman"/>
          <w:smallCaps/>
          <w:sz w:val="20"/>
          <w:szCs w:val="20"/>
        </w:rPr>
        <w:t xml:space="preserve">F. </w:t>
      </w:r>
      <w:proofErr w:type="spellStart"/>
      <w:r w:rsidRPr="00123A4F">
        <w:rPr>
          <w:rFonts w:ascii="Times New Roman" w:hAnsi="Times New Roman" w:cs="Times New Roman"/>
          <w:smallCaps/>
          <w:sz w:val="20"/>
          <w:szCs w:val="20"/>
        </w:rPr>
        <w:t>Saitto</w:t>
      </w:r>
      <w:proofErr w:type="spellEnd"/>
      <w:r w:rsidRPr="00123A4F">
        <w:rPr>
          <w:rFonts w:ascii="Times New Roman" w:hAnsi="Times New Roman" w:cs="Times New Roman"/>
          <w:sz w:val="20"/>
          <w:szCs w:val="20"/>
        </w:rPr>
        <w:t xml:space="preserve">, </w:t>
      </w:r>
      <w:r w:rsidRPr="00123A4F">
        <w:rPr>
          <w:rFonts w:ascii="Times New Roman" w:hAnsi="Times New Roman" w:cs="Times New Roman"/>
          <w:i/>
          <w:iCs/>
          <w:sz w:val="20"/>
          <w:szCs w:val="20"/>
        </w:rPr>
        <w:t xml:space="preserve">Al di là della “regola </w:t>
      </w:r>
      <w:proofErr w:type="spellStart"/>
      <w:r w:rsidRPr="00123A4F">
        <w:rPr>
          <w:rFonts w:ascii="Times New Roman" w:hAnsi="Times New Roman" w:cs="Times New Roman"/>
          <w:i/>
          <w:iCs/>
          <w:sz w:val="20"/>
          <w:szCs w:val="20"/>
        </w:rPr>
        <w:t>Granital</w:t>
      </w:r>
      <w:proofErr w:type="spellEnd"/>
      <w:r w:rsidRPr="00123A4F">
        <w:rPr>
          <w:rFonts w:ascii="Times New Roman" w:hAnsi="Times New Roman" w:cs="Times New Roman"/>
          <w:i/>
          <w:iCs/>
          <w:sz w:val="20"/>
          <w:szCs w:val="20"/>
        </w:rPr>
        <w:t>”. Individuazione del parametro in due sentenze della Corte costituzionale in materia di mandato d’arresto europeo</w:t>
      </w:r>
      <w:r w:rsidRPr="00123A4F">
        <w:rPr>
          <w:rFonts w:ascii="Times New Roman" w:hAnsi="Times New Roman" w:cs="Times New Roman"/>
          <w:sz w:val="20"/>
          <w:szCs w:val="20"/>
        </w:rPr>
        <w:t xml:space="preserve">, in </w:t>
      </w:r>
      <w:r w:rsidRPr="00123A4F">
        <w:rPr>
          <w:rFonts w:ascii="Times New Roman" w:hAnsi="Times New Roman" w:cs="Times New Roman"/>
          <w:i/>
          <w:iCs/>
          <w:sz w:val="20"/>
          <w:szCs w:val="20"/>
        </w:rPr>
        <w:t>Giurisprudenza costituzionale</w:t>
      </w:r>
      <w:r w:rsidRPr="00123A4F">
        <w:rPr>
          <w:rFonts w:ascii="Times New Roman" w:hAnsi="Times New Roman" w:cs="Times New Roman"/>
          <w:sz w:val="20"/>
          <w:szCs w:val="20"/>
        </w:rPr>
        <w:t>, 2023, 5, p. 2216 ss.</w:t>
      </w:r>
    </w:p>
  </w:footnote>
  <w:footnote w:id="60">
    <w:p w14:paraId="3E21F891" w14:textId="5B16B944" w:rsidR="00A4639E" w:rsidRPr="00123A4F" w:rsidRDefault="00A4639E" w:rsidP="00B40B17">
      <w:pPr>
        <w:pStyle w:val="Testonotaapidipagina"/>
        <w:spacing w:line="200" w:lineRule="atLeast"/>
        <w:jc w:val="both"/>
        <w:rPr>
          <w:rFonts w:ascii="Times New Roman" w:hAnsi="Times New Roman" w:cs="Times New Roman"/>
          <w:highlight w:val="cy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CGUE (Grande Sezione), 26 febbraio 2013, C-399/11, </w:t>
      </w:r>
      <w:r w:rsidRPr="00123A4F">
        <w:rPr>
          <w:rFonts w:ascii="Times New Roman" w:hAnsi="Times New Roman" w:cs="Times New Roman"/>
          <w:i/>
          <w:iCs/>
        </w:rPr>
        <w:t>Melloni</w:t>
      </w:r>
      <w:r w:rsidRPr="00123A4F">
        <w:rPr>
          <w:rFonts w:ascii="Times New Roman" w:hAnsi="Times New Roman" w:cs="Times New Roman"/>
        </w:rPr>
        <w:t xml:space="preserve">, punto 60 in cui la Corte lussemburghese chiarisce che l’applicazione «degli standard nazionali di tutela dei diritti fondamentali» resta consentita alle autorità e ai giudici degli Stati membri solo «a patto che l’ambito non sia totalmente determinato dal diritto UE e tale applicazione non comprometta il livello di tutela previsto dalla Carta, come interpretata dalla Corte, né il primato, l’unità e l’effettività del diritto dell’Unione». Negli stessi termini pure CGUE, 4 dicembre 2018, C-378/17, </w:t>
      </w:r>
      <w:r w:rsidRPr="00123A4F">
        <w:rPr>
          <w:rFonts w:ascii="Times New Roman" w:hAnsi="Times New Roman" w:cs="Times New Roman"/>
          <w:i/>
        </w:rPr>
        <w:t xml:space="preserve">Minister for Justice and Equality e </w:t>
      </w:r>
      <w:proofErr w:type="spellStart"/>
      <w:r w:rsidRPr="00123A4F">
        <w:rPr>
          <w:rFonts w:ascii="Times New Roman" w:hAnsi="Times New Roman" w:cs="Times New Roman"/>
          <w:i/>
        </w:rPr>
        <w:t>Commissioner</w:t>
      </w:r>
      <w:proofErr w:type="spellEnd"/>
      <w:r w:rsidRPr="00123A4F">
        <w:rPr>
          <w:rFonts w:ascii="Times New Roman" w:hAnsi="Times New Roman" w:cs="Times New Roman"/>
          <w:i/>
        </w:rPr>
        <w:t xml:space="preserve"> of an Garda </w:t>
      </w:r>
      <w:proofErr w:type="spellStart"/>
      <w:r w:rsidRPr="00123A4F">
        <w:rPr>
          <w:rFonts w:ascii="Times New Roman" w:hAnsi="Times New Roman" w:cs="Times New Roman"/>
          <w:i/>
        </w:rPr>
        <w:t>Siochana</w:t>
      </w:r>
      <w:proofErr w:type="spellEnd"/>
      <w:r w:rsidRPr="00123A4F">
        <w:rPr>
          <w:rFonts w:ascii="Times New Roman" w:hAnsi="Times New Roman" w:cs="Times New Roman"/>
        </w:rPr>
        <w:t xml:space="preserve">, punto 39. Di c.d. </w:t>
      </w:r>
      <w:r w:rsidRPr="00123A4F">
        <w:rPr>
          <w:rFonts w:ascii="Times New Roman" w:hAnsi="Times New Roman" w:cs="Times New Roman"/>
          <w:i/>
          <w:iCs/>
        </w:rPr>
        <w:t>“limiti-Melloni”</w:t>
      </w:r>
      <w:r w:rsidRPr="00123A4F">
        <w:rPr>
          <w:rFonts w:ascii="Times New Roman" w:hAnsi="Times New Roman" w:cs="Times New Roman"/>
        </w:rPr>
        <w:t xml:space="preserve"> discorre </w:t>
      </w:r>
      <w:r w:rsidR="00FE5759" w:rsidRPr="00123A4F">
        <w:rPr>
          <w:rFonts w:ascii="Times New Roman" w:hAnsi="Times New Roman" w:cs="Times New Roman"/>
          <w:smallCaps/>
        </w:rPr>
        <w:t xml:space="preserve">F.  </w:t>
      </w:r>
      <w:proofErr w:type="spellStart"/>
      <w:r w:rsidRPr="00123A4F">
        <w:rPr>
          <w:rFonts w:ascii="Times New Roman" w:hAnsi="Times New Roman" w:cs="Times New Roman"/>
          <w:smallCaps/>
        </w:rPr>
        <w:t>Saitto</w:t>
      </w:r>
      <w:proofErr w:type="spellEnd"/>
      <w:r w:rsidRPr="00123A4F">
        <w:rPr>
          <w:rFonts w:ascii="Times New Roman" w:hAnsi="Times New Roman" w:cs="Times New Roman"/>
        </w:rPr>
        <w:t xml:space="preserve">, </w:t>
      </w:r>
      <w:r w:rsidRPr="00123A4F">
        <w:rPr>
          <w:rFonts w:ascii="Times New Roman" w:hAnsi="Times New Roman" w:cs="Times New Roman"/>
          <w:i/>
          <w:iCs/>
        </w:rPr>
        <w:t>Giurisdizione costituzionale e protezione dei diritti fondamentali in Europa</w:t>
      </w:r>
      <w:r w:rsidRPr="00123A4F">
        <w:rPr>
          <w:rFonts w:ascii="Times New Roman" w:hAnsi="Times New Roman" w:cs="Times New Roman"/>
        </w:rPr>
        <w:t xml:space="preserve">, Milano, 2024, p. 201 ss. V. anche </w:t>
      </w:r>
      <w:r w:rsidRPr="00123A4F">
        <w:rPr>
          <w:rFonts w:ascii="Times New Roman" w:hAnsi="Times New Roman" w:cs="Times New Roman"/>
          <w:smallCaps/>
        </w:rPr>
        <w:t>M.E. Bartoloni</w:t>
      </w:r>
      <w:r w:rsidRPr="00123A4F">
        <w:rPr>
          <w:rFonts w:ascii="Times New Roman" w:hAnsi="Times New Roman" w:cs="Times New Roman"/>
        </w:rPr>
        <w:t xml:space="preserve">, </w:t>
      </w:r>
      <w:r w:rsidRPr="00123A4F">
        <w:rPr>
          <w:rFonts w:ascii="Times New Roman" w:hAnsi="Times New Roman" w:cs="Times New Roman"/>
          <w:i/>
          <w:iCs/>
        </w:rPr>
        <w:t>L’apporto delle tecniche di armonizzazione nella definizione dei rapporti tra sistemi concorrenti di tutela dei diritti fondamentali</w:t>
      </w:r>
      <w:r w:rsidRPr="00123A4F">
        <w:rPr>
          <w:rFonts w:ascii="Times New Roman" w:hAnsi="Times New Roman" w:cs="Times New Roman"/>
        </w:rPr>
        <w:t>, p. 61 ss.</w:t>
      </w:r>
    </w:p>
  </w:footnote>
  <w:footnote w:id="61">
    <w:p w14:paraId="1B19DC8F" w14:textId="704A6540" w:rsidR="00FE5759" w:rsidRPr="00123A4F" w:rsidRDefault="00FE5759"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In alcuni casi (vedi Corte cost., </w:t>
      </w:r>
      <w:proofErr w:type="spellStart"/>
      <w:r w:rsidRPr="00123A4F">
        <w:rPr>
          <w:rFonts w:ascii="Times New Roman" w:hAnsi="Times New Roman" w:cs="Times New Roman"/>
        </w:rPr>
        <w:t>senttt</w:t>
      </w:r>
      <w:proofErr w:type="spellEnd"/>
      <w:r w:rsidRPr="00123A4F">
        <w:rPr>
          <w:rFonts w:ascii="Times New Roman" w:hAnsi="Times New Roman" w:cs="Times New Roman"/>
        </w:rPr>
        <w:t xml:space="preserve">. </w:t>
      </w:r>
      <w:proofErr w:type="spellStart"/>
      <w:r w:rsidRPr="00123A4F">
        <w:rPr>
          <w:rFonts w:ascii="Times New Roman" w:hAnsi="Times New Roman" w:cs="Times New Roman"/>
        </w:rPr>
        <w:t>nn</w:t>
      </w:r>
      <w:proofErr w:type="spellEnd"/>
      <w:r w:rsidRPr="00123A4F">
        <w:rPr>
          <w:rFonts w:ascii="Times New Roman" w:hAnsi="Times New Roman" w:cs="Times New Roman"/>
        </w:rPr>
        <w:t>. 31 e 4</w:t>
      </w:r>
      <w:r w:rsidR="000E39B0" w:rsidRPr="00123A4F">
        <w:rPr>
          <w:rFonts w:ascii="Times New Roman" w:hAnsi="Times New Roman" w:cs="Times New Roman"/>
        </w:rPr>
        <w:t xml:space="preserve">8 </w:t>
      </w:r>
      <w:r w:rsidRPr="00123A4F">
        <w:rPr>
          <w:rFonts w:ascii="Times New Roman" w:hAnsi="Times New Roman" w:cs="Times New Roman"/>
        </w:rPr>
        <w:t xml:space="preserve">del 2025 e, da ultimo, </w:t>
      </w:r>
      <w:proofErr w:type="spellStart"/>
      <w:r w:rsidRPr="00123A4F">
        <w:rPr>
          <w:rFonts w:ascii="Times New Roman" w:hAnsi="Times New Roman" w:cs="Times New Roman"/>
        </w:rPr>
        <w:t>sent</w:t>
      </w:r>
      <w:proofErr w:type="spellEnd"/>
      <w:r w:rsidRPr="00123A4F">
        <w:rPr>
          <w:rFonts w:ascii="Times New Roman" w:hAnsi="Times New Roman" w:cs="Times New Roman"/>
        </w:rPr>
        <w:t xml:space="preserve">. n. 1 del 2026) la Corte costituzionale ha definito le questioni prospettate avvalendosi esclusivamente dei parametri costituzionali ‘interni’ e ritenendo conseguentemente assorbite le questioni di cui ai parametri costituzionali ‘sovranazionali’ (artt. 11 e 117, primo comma, Cost.). Lo ha fatto, però, argomentando circa il pieno rispetto dei limiti imposti dalla ‘giurisprudenza </w:t>
      </w:r>
      <w:r w:rsidRPr="00123A4F">
        <w:rPr>
          <w:rFonts w:ascii="Times New Roman" w:hAnsi="Times New Roman" w:cs="Times New Roman"/>
          <w:i/>
          <w:iCs/>
        </w:rPr>
        <w:t>Melloni</w:t>
      </w:r>
      <w:r w:rsidRPr="00123A4F">
        <w:rPr>
          <w:rFonts w:ascii="Times New Roman" w:hAnsi="Times New Roman" w:cs="Times New Roman"/>
        </w:rPr>
        <w:t xml:space="preserve">’. In altri casi (vedi </w:t>
      </w:r>
      <w:proofErr w:type="spellStart"/>
      <w:r w:rsidRPr="00123A4F">
        <w:rPr>
          <w:rFonts w:ascii="Times New Roman" w:hAnsi="Times New Roman" w:cs="Times New Roman"/>
        </w:rPr>
        <w:t>sentt</w:t>
      </w:r>
      <w:proofErr w:type="spellEnd"/>
      <w:r w:rsidRPr="00123A4F">
        <w:rPr>
          <w:rFonts w:ascii="Times New Roman" w:hAnsi="Times New Roman" w:cs="Times New Roman"/>
        </w:rPr>
        <w:t xml:space="preserve">. </w:t>
      </w:r>
      <w:proofErr w:type="spellStart"/>
      <w:r w:rsidRPr="00123A4F">
        <w:rPr>
          <w:rFonts w:ascii="Times New Roman" w:hAnsi="Times New Roman" w:cs="Times New Roman"/>
        </w:rPr>
        <w:t>nn</w:t>
      </w:r>
      <w:proofErr w:type="spellEnd"/>
      <w:r w:rsidRPr="00123A4F">
        <w:rPr>
          <w:rFonts w:ascii="Times New Roman" w:hAnsi="Times New Roman" w:cs="Times New Roman"/>
        </w:rPr>
        <w:t xml:space="preserve">. 181 del 2024 e 1 e 7 del 2025) la Corte ha, invece, dato prova di voler dare seguito all’intersezione delle pregiudiziali, addivenendo a declaratorie di illegittimità costituzionale fondate sulla congiunta violazione di parametri costituzionali interni (art. 3 Cost.) e della normativa UE. Cfr. </w:t>
      </w:r>
      <w:r w:rsidRPr="00123A4F">
        <w:rPr>
          <w:rFonts w:ascii="Times New Roman" w:hAnsi="Times New Roman" w:cs="Times New Roman"/>
          <w:smallCaps/>
        </w:rPr>
        <w:t xml:space="preserve">F. </w:t>
      </w:r>
      <w:proofErr w:type="spellStart"/>
      <w:r w:rsidRPr="00123A4F">
        <w:rPr>
          <w:rFonts w:ascii="Times New Roman" w:hAnsi="Times New Roman" w:cs="Times New Roman"/>
          <w:smallCaps/>
        </w:rPr>
        <w:t>Saitto</w:t>
      </w:r>
      <w:proofErr w:type="spellEnd"/>
      <w:r w:rsidRPr="00123A4F">
        <w:rPr>
          <w:rFonts w:ascii="Times New Roman" w:hAnsi="Times New Roman" w:cs="Times New Roman"/>
        </w:rPr>
        <w:t xml:space="preserve">, </w:t>
      </w:r>
      <w:r w:rsidRPr="00123A4F">
        <w:rPr>
          <w:rFonts w:ascii="Times New Roman" w:hAnsi="Times New Roman" w:cs="Times New Roman"/>
          <w:i/>
          <w:iCs/>
        </w:rPr>
        <w:t xml:space="preserve">Al di là della “regola </w:t>
      </w:r>
      <w:proofErr w:type="spellStart"/>
      <w:r w:rsidRPr="00123A4F">
        <w:rPr>
          <w:rFonts w:ascii="Times New Roman" w:hAnsi="Times New Roman" w:cs="Times New Roman"/>
          <w:i/>
          <w:iCs/>
        </w:rPr>
        <w:t>Granital</w:t>
      </w:r>
      <w:proofErr w:type="spellEnd"/>
      <w:r w:rsidRPr="00123A4F">
        <w:rPr>
          <w:rFonts w:ascii="Times New Roman" w:hAnsi="Times New Roman" w:cs="Times New Roman"/>
          <w:i/>
          <w:iCs/>
        </w:rPr>
        <w:t xml:space="preserve">”, </w:t>
      </w:r>
      <w:r w:rsidRPr="00123A4F">
        <w:rPr>
          <w:rFonts w:ascii="Times New Roman" w:hAnsi="Times New Roman" w:cs="Times New Roman"/>
        </w:rPr>
        <w:t xml:space="preserve">op. cit., p. 2221 ss. e </w:t>
      </w:r>
      <w:r w:rsidRPr="00123A4F">
        <w:rPr>
          <w:rFonts w:ascii="Times New Roman" w:hAnsi="Times New Roman" w:cs="Times New Roman"/>
          <w:smallCaps/>
        </w:rPr>
        <w:t>A. Chiappetta</w:t>
      </w:r>
      <w:r w:rsidRPr="00123A4F">
        <w:rPr>
          <w:rFonts w:ascii="Times New Roman" w:hAnsi="Times New Roman" w:cs="Times New Roman"/>
        </w:rPr>
        <w:t xml:space="preserve">, </w:t>
      </w:r>
      <w:r w:rsidRPr="00123A4F">
        <w:rPr>
          <w:rFonts w:ascii="Times New Roman" w:hAnsi="Times New Roman" w:cs="Times New Roman"/>
          <w:i/>
          <w:iCs/>
        </w:rPr>
        <w:t>Sindacato accentrato e diritto dell’Unione europea</w:t>
      </w:r>
      <w:r w:rsidRPr="00123A4F">
        <w:rPr>
          <w:rFonts w:ascii="Times New Roman" w:hAnsi="Times New Roman" w:cs="Times New Roman"/>
        </w:rPr>
        <w:t>, op. cit., p. 2</w:t>
      </w:r>
      <w:r w:rsidR="00FF3EEB" w:rsidRPr="00123A4F">
        <w:rPr>
          <w:rFonts w:ascii="Times New Roman" w:hAnsi="Times New Roman" w:cs="Times New Roman"/>
        </w:rPr>
        <w:t>66</w:t>
      </w:r>
      <w:r w:rsidRPr="00123A4F">
        <w:rPr>
          <w:rFonts w:ascii="Times New Roman" w:hAnsi="Times New Roman" w:cs="Times New Roman"/>
        </w:rPr>
        <w:t xml:space="preserve"> ss.</w:t>
      </w:r>
    </w:p>
  </w:footnote>
  <w:footnote w:id="62">
    <w:p w14:paraId="3F1BF72B" w14:textId="77777777" w:rsidR="006E233E" w:rsidRPr="00123A4F" w:rsidRDefault="006E233E" w:rsidP="000E39B0">
      <w:pPr>
        <w:spacing w:after="0"/>
        <w:jc w:val="both"/>
        <w:rPr>
          <w:rFonts w:ascii="Times New Roman" w:hAnsi="Times New Roman" w:cs="Times New Roman"/>
          <w:sz w:val="20"/>
          <w:szCs w:val="20"/>
        </w:rPr>
      </w:pPr>
      <w:r w:rsidRPr="00123A4F">
        <w:rPr>
          <w:rStyle w:val="Rimandonotaapidipagina"/>
          <w:rFonts w:ascii="Times New Roman" w:hAnsi="Times New Roman" w:cs="Times New Roman"/>
          <w:sz w:val="20"/>
          <w:szCs w:val="20"/>
        </w:rPr>
        <w:footnoteRef/>
      </w:r>
      <w:r w:rsidRPr="00123A4F">
        <w:rPr>
          <w:rFonts w:ascii="Times New Roman" w:hAnsi="Times New Roman" w:cs="Times New Roman"/>
          <w:sz w:val="20"/>
          <w:szCs w:val="20"/>
        </w:rPr>
        <w:t xml:space="preserve"> Sul punto abbiamo insistito nel nostro </w:t>
      </w:r>
      <w:r w:rsidRPr="00123A4F">
        <w:rPr>
          <w:rFonts w:ascii="Times New Roman" w:hAnsi="Times New Roman" w:cs="Times New Roman"/>
          <w:smallCaps/>
          <w:sz w:val="20"/>
          <w:szCs w:val="20"/>
        </w:rPr>
        <w:t>G. Scaccia</w:t>
      </w:r>
      <w:r w:rsidRPr="00123A4F">
        <w:rPr>
          <w:rFonts w:ascii="Times New Roman" w:hAnsi="Times New Roman" w:cs="Times New Roman"/>
          <w:sz w:val="20"/>
          <w:szCs w:val="20"/>
        </w:rPr>
        <w:t xml:space="preserve">, </w:t>
      </w:r>
      <w:r w:rsidRPr="00123A4F">
        <w:rPr>
          <w:rFonts w:ascii="Times New Roman" w:hAnsi="Times New Roman" w:cs="Times New Roman"/>
          <w:i/>
          <w:sz w:val="20"/>
          <w:szCs w:val="20"/>
        </w:rPr>
        <w:t>Sindacato accentrato di costituzionalità vs diretta applicazione della Carta dei diritti fondamentali dell’Unione europea</w:t>
      </w:r>
      <w:r w:rsidRPr="00123A4F">
        <w:rPr>
          <w:rFonts w:ascii="Times New Roman" w:hAnsi="Times New Roman" w:cs="Times New Roman"/>
          <w:sz w:val="20"/>
          <w:szCs w:val="20"/>
        </w:rPr>
        <w:t xml:space="preserve">, in </w:t>
      </w:r>
      <w:r w:rsidRPr="00123A4F">
        <w:rPr>
          <w:rFonts w:ascii="Times New Roman" w:hAnsi="Times New Roman" w:cs="Times New Roman"/>
          <w:i/>
          <w:sz w:val="20"/>
          <w:szCs w:val="20"/>
        </w:rPr>
        <w:t>Forum di Quaderni costituzionali</w:t>
      </w:r>
      <w:r w:rsidRPr="00123A4F">
        <w:rPr>
          <w:rFonts w:ascii="Times New Roman" w:hAnsi="Times New Roman" w:cs="Times New Roman"/>
          <w:sz w:val="20"/>
          <w:szCs w:val="20"/>
        </w:rPr>
        <w:t xml:space="preserve">, 2021, 3, p. 238 ss. Che il </w:t>
      </w:r>
      <w:r w:rsidRPr="00123A4F">
        <w:rPr>
          <w:rFonts w:ascii="Times New Roman" w:hAnsi="Times New Roman" w:cs="Times New Roman"/>
          <w:i/>
          <w:iCs/>
          <w:sz w:val="20"/>
          <w:szCs w:val="20"/>
        </w:rPr>
        <w:t>plus</w:t>
      </w:r>
      <w:r w:rsidRPr="00123A4F">
        <w:rPr>
          <w:rFonts w:ascii="Times New Roman" w:hAnsi="Times New Roman" w:cs="Times New Roman"/>
          <w:sz w:val="20"/>
          <w:szCs w:val="20"/>
        </w:rPr>
        <w:t xml:space="preserve"> di tutela non coincida sempre con l’incremento delle tutele soggettive lo dimostrano pronunce come Corte cost., </w:t>
      </w:r>
      <w:proofErr w:type="spellStart"/>
      <w:r w:rsidRPr="00123A4F">
        <w:rPr>
          <w:rFonts w:ascii="Times New Roman" w:hAnsi="Times New Roman" w:cs="Times New Roman"/>
          <w:sz w:val="20"/>
          <w:szCs w:val="20"/>
        </w:rPr>
        <w:t>sentt</w:t>
      </w:r>
      <w:proofErr w:type="spellEnd"/>
      <w:r w:rsidRPr="00123A4F">
        <w:rPr>
          <w:rFonts w:ascii="Times New Roman" w:hAnsi="Times New Roman" w:cs="Times New Roman"/>
          <w:sz w:val="20"/>
          <w:szCs w:val="20"/>
        </w:rPr>
        <w:t xml:space="preserve">. </w:t>
      </w:r>
      <w:proofErr w:type="spellStart"/>
      <w:r w:rsidRPr="00123A4F">
        <w:rPr>
          <w:rFonts w:ascii="Times New Roman" w:hAnsi="Times New Roman" w:cs="Times New Roman"/>
          <w:sz w:val="20"/>
          <w:szCs w:val="20"/>
        </w:rPr>
        <w:t>nn</w:t>
      </w:r>
      <w:proofErr w:type="spellEnd"/>
      <w:r w:rsidRPr="00123A4F">
        <w:rPr>
          <w:rFonts w:ascii="Times New Roman" w:hAnsi="Times New Roman" w:cs="Times New Roman"/>
          <w:sz w:val="20"/>
          <w:szCs w:val="20"/>
        </w:rPr>
        <w:t xml:space="preserve">. 264 del 2012 e 166 del 2017 sulle cd. pensioni svizzere e n. 230 del 2012 in tema di </w:t>
      </w:r>
      <w:proofErr w:type="spellStart"/>
      <w:r w:rsidRPr="00123A4F">
        <w:rPr>
          <w:rFonts w:ascii="Times New Roman" w:hAnsi="Times New Roman" w:cs="Times New Roman"/>
          <w:i/>
          <w:iCs/>
          <w:sz w:val="20"/>
          <w:szCs w:val="20"/>
        </w:rPr>
        <w:t>abolitio</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criminis</w:t>
      </w:r>
      <w:proofErr w:type="spellEnd"/>
      <w:r w:rsidRPr="00123A4F">
        <w:rPr>
          <w:rFonts w:ascii="Times New Roman" w:hAnsi="Times New Roman" w:cs="Times New Roman"/>
          <w:i/>
          <w:iCs/>
          <w:sz w:val="20"/>
          <w:szCs w:val="20"/>
        </w:rPr>
        <w:t xml:space="preserve"> </w:t>
      </w:r>
      <w:r w:rsidRPr="00123A4F">
        <w:rPr>
          <w:rFonts w:ascii="Times New Roman" w:hAnsi="Times New Roman" w:cs="Times New Roman"/>
          <w:sz w:val="20"/>
          <w:szCs w:val="20"/>
        </w:rPr>
        <w:t>giurisprudenziale. In quest’ultima pronuncia, in particolare, nonostante dall’accoglimento della questione derivasse certamente un miglioramento diretto e immediato per la situazione della parte privata (e in tal senso un «plus di tutela» soggettiva), la Consulta ha ritenuto che all’</w:t>
      </w:r>
      <w:proofErr w:type="spellStart"/>
      <w:r w:rsidRPr="00123A4F">
        <w:rPr>
          <w:rFonts w:ascii="Times New Roman" w:hAnsi="Times New Roman" w:cs="Times New Roman"/>
          <w:i/>
          <w:iCs/>
          <w:sz w:val="20"/>
          <w:szCs w:val="20"/>
        </w:rPr>
        <w:t>abolitio</w:t>
      </w:r>
      <w:proofErr w:type="spellEnd"/>
      <w:r w:rsidRPr="00123A4F">
        <w:rPr>
          <w:rFonts w:ascii="Times New Roman" w:hAnsi="Times New Roman" w:cs="Times New Roman"/>
          <w:i/>
          <w:iCs/>
          <w:sz w:val="20"/>
          <w:szCs w:val="20"/>
        </w:rPr>
        <w:t xml:space="preserve"> </w:t>
      </w:r>
      <w:proofErr w:type="spellStart"/>
      <w:r w:rsidRPr="00123A4F">
        <w:rPr>
          <w:rFonts w:ascii="Times New Roman" w:hAnsi="Times New Roman" w:cs="Times New Roman"/>
          <w:i/>
          <w:iCs/>
          <w:sz w:val="20"/>
          <w:szCs w:val="20"/>
        </w:rPr>
        <w:t>criminis</w:t>
      </w:r>
      <w:proofErr w:type="spellEnd"/>
      <w:r w:rsidRPr="00123A4F">
        <w:rPr>
          <w:rFonts w:ascii="Times New Roman" w:hAnsi="Times New Roman" w:cs="Times New Roman"/>
          <w:sz w:val="20"/>
          <w:szCs w:val="20"/>
        </w:rPr>
        <w:t xml:space="preserve"> reclamata dalla parte del giudizio principale non si potesse giungere per effetto di una decisione della Corte di Cassazione, a ciò opponendosi due principi istituzional-organizzativi: la separazione dei poteri, che ha uno specifico riflesso «nel precetto (art. 101, secondo comma, Cost.) che vuole il giudice soggetto (soltanto) alla legge»; e la riserva di legge prevista nell’art. 25, secondo comma, Cost., la quale demanda il potere di normazione in materia penale, in quanto incidente sui diritti fondamentali dell’individuo e segnatamente sulla libertà personale, all’istituzione rappresentativa dell’intera collettività nazionale.</w:t>
      </w:r>
    </w:p>
  </w:footnote>
  <w:footnote w:id="63">
    <w:p w14:paraId="3849B881" w14:textId="6B6E4AD7" w:rsidR="00A4639E" w:rsidRPr="00123A4F" w:rsidRDefault="00A4639E" w:rsidP="00486D86">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Così </w:t>
      </w:r>
      <w:r w:rsidR="00AB6069" w:rsidRPr="00123A4F">
        <w:rPr>
          <w:rFonts w:ascii="Times New Roman" w:hAnsi="Times New Roman" w:cs="Times New Roman"/>
        </w:rPr>
        <w:t>fu definita da Aldo Moro la</w:t>
      </w:r>
      <w:r w:rsidRPr="00123A4F">
        <w:rPr>
          <w:rFonts w:ascii="Times New Roman" w:hAnsi="Times New Roman" w:cs="Times New Roman"/>
        </w:rPr>
        <w:t xml:space="preserve"> formula del governo Fanfani III del 1960, un monocolore democristiano sostenuto dall'astensione di socialisti e monarchici, </w:t>
      </w:r>
      <w:r w:rsidR="00017255" w:rsidRPr="00123A4F">
        <w:rPr>
          <w:rFonts w:ascii="Times New Roman" w:hAnsi="Times New Roman" w:cs="Times New Roman"/>
        </w:rPr>
        <w:t xml:space="preserve">che costituì una </w:t>
      </w:r>
      <w:r w:rsidRPr="00123A4F">
        <w:rPr>
          <w:rFonts w:ascii="Times New Roman" w:hAnsi="Times New Roman" w:cs="Times New Roman"/>
        </w:rPr>
        <w:t>tappa d</w:t>
      </w:r>
      <w:r w:rsidR="00393CEA" w:rsidRPr="00123A4F">
        <w:rPr>
          <w:rFonts w:ascii="Times New Roman" w:hAnsi="Times New Roman" w:cs="Times New Roman"/>
        </w:rPr>
        <w:t>ell’</w:t>
      </w:r>
      <w:r w:rsidRPr="00123A4F">
        <w:rPr>
          <w:rFonts w:ascii="Times New Roman" w:hAnsi="Times New Roman" w:cs="Times New Roman"/>
        </w:rPr>
        <w:t xml:space="preserve">avvicinamento fra DC e PSI che </w:t>
      </w:r>
      <w:r w:rsidR="00CD2953" w:rsidRPr="00123A4F">
        <w:rPr>
          <w:rFonts w:ascii="Times New Roman" w:hAnsi="Times New Roman" w:cs="Times New Roman"/>
        </w:rPr>
        <w:t xml:space="preserve">aprì </w:t>
      </w:r>
      <w:r w:rsidRPr="00123A4F">
        <w:rPr>
          <w:rFonts w:ascii="Times New Roman" w:hAnsi="Times New Roman" w:cs="Times New Roman"/>
        </w:rPr>
        <w:t>la stagione dei governi del centro-sinistra.</w:t>
      </w:r>
    </w:p>
  </w:footnote>
  <w:footnote w:id="64">
    <w:p w14:paraId="7F3800EE" w14:textId="77777777" w:rsidR="00A4639E" w:rsidRPr="00123A4F" w:rsidRDefault="00A4639E" w:rsidP="00A4639E">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Il quale procede allo scrutinio di costituzionalità assumendo come parametro esclusivamente il </w:t>
      </w:r>
      <w:proofErr w:type="spellStart"/>
      <w:r w:rsidRPr="00123A4F">
        <w:rPr>
          <w:rFonts w:ascii="Times New Roman" w:hAnsi="Times New Roman" w:cs="Times New Roman"/>
          <w:i/>
          <w:iCs/>
        </w:rPr>
        <w:t>Grundgesetz</w:t>
      </w:r>
      <w:proofErr w:type="spellEnd"/>
      <w:r w:rsidRPr="00123A4F">
        <w:rPr>
          <w:rFonts w:ascii="Times New Roman" w:hAnsi="Times New Roman" w:cs="Times New Roman"/>
        </w:rPr>
        <w:t>, considerando ammissibili le questioni solo nell’ipotesi in cui l’ambito materiale sia parzialmente – e non integralmente – determinato dalla CDFUE. L’unica eccezione è rappresentata dai ricorsi avverso pronunce giudiziali basate sulla Carta di Nizza.</w:t>
      </w:r>
    </w:p>
  </w:footnote>
  <w:footnote w:id="65">
    <w:p w14:paraId="1C27228F" w14:textId="5AD9809B" w:rsidR="002763E4" w:rsidRPr="00123A4F" w:rsidRDefault="002763E4" w:rsidP="00FE5759">
      <w:pPr>
        <w:pStyle w:val="Testonotaapidipagina"/>
        <w:suppressAutoHyphens/>
        <w:autoSpaceDN w:val="0"/>
        <w:spacing w:line="200" w:lineRule="atLeast"/>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smallCaps/>
        </w:rPr>
        <w:t>G.</w:t>
      </w:r>
      <w:r w:rsidR="00FE5759" w:rsidRPr="00123A4F">
        <w:rPr>
          <w:rFonts w:ascii="Times New Roman" w:hAnsi="Times New Roman" w:cs="Times New Roman"/>
        </w:rPr>
        <w:t xml:space="preserve"> </w:t>
      </w:r>
      <w:r w:rsidR="00FE5759" w:rsidRPr="00123A4F">
        <w:rPr>
          <w:rFonts w:ascii="Times New Roman" w:hAnsi="Times New Roman" w:cs="Times New Roman"/>
          <w:smallCaps/>
        </w:rPr>
        <w:t xml:space="preserve">Pitruzzella, </w:t>
      </w:r>
      <w:r w:rsidR="00FE5759" w:rsidRPr="00123A4F">
        <w:rPr>
          <w:rFonts w:ascii="Times New Roman" w:hAnsi="Times New Roman" w:cs="Times New Roman"/>
          <w:i/>
          <w:iCs/>
        </w:rPr>
        <w:t>La costruzione dello spazio costituzionale europeo nel “dialogo” tra Corte di giustizia e Corti costituzionali</w:t>
      </w:r>
      <w:r w:rsidR="00FE5759" w:rsidRPr="00123A4F">
        <w:rPr>
          <w:rFonts w:ascii="Times New Roman" w:hAnsi="Times New Roman" w:cs="Times New Roman"/>
        </w:rPr>
        <w:t xml:space="preserve">, ora in </w:t>
      </w:r>
      <w:r w:rsidR="00FE5759" w:rsidRPr="00123A4F">
        <w:rPr>
          <w:rFonts w:ascii="Times New Roman" w:hAnsi="Times New Roman" w:cs="Times New Roman"/>
          <w:i/>
          <w:iCs/>
        </w:rPr>
        <w:t>Quaderni costituzionali</w:t>
      </w:r>
      <w:r w:rsidR="00FE5759" w:rsidRPr="00123A4F">
        <w:rPr>
          <w:rFonts w:ascii="Times New Roman" w:hAnsi="Times New Roman" w:cs="Times New Roman"/>
        </w:rPr>
        <w:t>, 2024, 4, p. 795 ss.</w:t>
      </w:r>
    </w:p>
  </w:footnote>
  <w:footnote w:id="66">
    <w:p w14:paraId="2288A306" w14:textId="1C13FDEF" w:rsidR="00A4639E" w:rsidRPr="00123A4F" w:rsidRDefault="00A4639E" w:rsidP="00A4639E">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Pr="00123A4F">
        <w:rPr>
          <w:rFonts w:ascii="Times New Roman" w:hAnsi="Times New Roman" w:cs="Times New Roman"/>
          <w:smallCaps/>
        </w:rPr>
        <w:t>G. Repetto</w:t>
      </w:r>
      <w:r w:rsidRPr="00123A4F">
        <w:rPr>
          <w:rFonts w:ascii="Times New Roman" w:hAnsi="Times New Roman" w:cs="Times New Roman"/>
        </w:rPr>
        <w:t xml:space="preserve">, </w:t>
      </w:r>
      <w:r w:rsidRPr="00123A4F">
        <w:rPr>
          <w:rFonts w:ascii="Times New Roman" w:hAnsi="Times New Roman" w:cs="Times New Roman"/>
          <w:i/>
          <w:iCs/>
        </w:rPr>
        <w:t>Lavori in corso. La Corte e le trasformazioni del tono costituzionale dopo il superamento della “doppia pregiudizialità”</w:t>
      </w:r>
      <w:r w:rsidRPr="00123A4F">
        <w:rPr>
          <w:rFonts w:ascii="Times New Roman" w:hAnsi="Times New Roman" w:cs="Times New Roman"/>
        </w:rPr>
        <w:t xml:space="preserve">, in </w:t>
      </w:r>
      <w:r w:rsidRPr="00123A4F">
        <w:rPr>
          <w:rFonts w:ascii="Times New Roman" w:hAnsi="Times New Roman" w:cs="Times New Roman"/>
          <w:smallCaps/>
        </w:rPr>
        <w:t>V. Capuano – C. Schepisi</w:t>
      </w:r>
      <w:r w:rsidRPr="00123A4F">
        <w:rPr>
          <w:rFonts w:ascii="Times New Roman" w:hAnsi="Times New Roman" w:cs="Times New Roman"/>
        </w:rPr>
        <w:t xml:space="preserve"> (a cura di), </w:t>
      </w:r>
      <w:r w:rsidRPr="00123A4F">
        <w:rPr>
          <w:rFonts w:ascii="Times New Roman" w:hAnsi="Times New Roman" w:cs="Times New Roman"/>
          <w:i/>
          <w:iCs/>
        </w:rPr>
        <w:t>Primato del</w:t>
      </w:r>
      <w:r w:rsidRPr="00123A4F">
        <w:rPr>
          <w:rFonts w:ascii="Times New Roman" w:hAnsi="Times New Roman" w:cs="Times New Roman"/>
        </w:rPr>
        <w:t xml:space="preserve"> </w:t>
      </w:r>
      <w:r w:rsidRPr="00123A4F">
        <w:rPr>
          <w:rFonts w:ascii="Times New Roman" w:hAnsi="Times New Roman" w:cs="Times New Roman"/>
          <w:i/>
          <w:iCs/>
        </w:rPr>
        <w:t xml:space="preserve">diritto dell’Unione europea, giudice nazionale e dialogo con le Corti: quali nuovi </w:t>
      </w:r>
      <w:proofErr w:type="gramStart"/>
      <w:r w:rsidRPr="00123A4F">
        <w:rPr>
          <w:rFonts w:ascii="Times New Roman" w:hAnsi="Times New Roman" w:cs="Times New Roman"/>
          <w:i/>
          <w:iCs/>
        </w:rPr>
        <w:t>equilibri?,</w:t>
      </w:r>
      <w:proofErr w:type="gramEnd"/>
      <w:r w:rsidRPr="00123A4F">
        <w:rPr>
          <w:rFonts w:ascii="Times New Roman" w:hAnsi="Times New Roman" w:cs="Times New Roman"/>
          <w:i/>
          <w:iCs/>
        </w:rPr>
        <w:t xml:space="preserve"> Rivista Eurojus.it</w:t>
      </w:r>
      <w:r w:rsidRPr="00123A4F">
        <w:rPr>
          <w:rFonts w:ascii="Times New Roman" w:hAnsi="Times New Roman" w:cs="Times New Roman"/>
        </w:rPr>
        <w:t xml:space="preserve">, 2025, fasc. spec., p. 58 </w:t>
      </w:r>
      <w:proofErr w:type="spellStart"/>
      <w:r w:rsidRPr="00123A4F">
        <w:rPr>
          <w:rFonts w:ascii="Times New Roman" w:hAnsi="Times New Roman" w:cs="Times New Roman"/>
        </w:rPr>
        <w:t>ss</w:t>
      </w:r>
      <w:proofErr w:type="spellEnd"/>
      <w:r w:rsidRPr="00123A4F">
        <w:rPr>
          <w:rFonts w:ascii="Times New Roman" w:hAnsi="Times New Roman" w:cs="Times New Roman"/>
        </w:rPr>
        <w:t xml:space="preserve"> e </w:t>
      </w:r>
      <w:r w:rsidRPr="00123A4F">
        <w:rPr>
          <w:rFonts w:ascii="Times New Roman" w:hAnsi="Times New Roman" w:cs="Times New Roman"/>
          <w:smallCaps/>
        </w:rPr>
        <w:t>Id.</w:t>
      </w:r>
      <w:r w:rsidRPr="00123A4F">
        <w:rPr>
          <w:rFonts w:ascii="Times New Roman" w:hAnsi="Times New Roman" w:cs="Times New Roman"/>
        </w:rPr>
        <w:t xml:space="preserve">, </w:t>
      </w:r>
      <w:r w:rsidRPr="00123A4F">
        <w:rPr>
          <w:rFonts w:ascii="Times New Roman" w:hAnsi="Times New Roman" w:cs="Times New Roman"/>
          <w:i/>
          <w:iCs/>
        </w:rPr>
        <w:t xml:space="preserve">Insieme ma con ordine. La convivenza tra disapplicazione e giudizio di costituzionalità a quarant’anni da </w:t>
      </w:r>
      <w:proofErr w:type="spellStart"/>
      <w:r w:rsidRPr="00123A4F">
        <w:rPr>
          <w:rFonts w:ascii="Times New Roman" w:hAnsi="Times New Roman" w:cs="Times New Roman"/>
          <w:i/>
          <w:iCs/>
        </w:rPr>
        <w:t>Granital</w:t>
      </w:r>
      <w:proofErr w:type="spellEnd"/>
      <w:r w:rsidRPr="00123A4F">
        <w:rPr>
          <w:rFonts w:ascii="Times New Roman" w:hAnsi="Times New Roman" w:cs="Times New Roman"/>
        </w:rPr>
        <w:t xml:space="preserve">, in </w:t>
      </w:r>
      <w:r w:rsidRPr="00123A4F">
        <w:rPr>
          <w:rFonts w:ascii="Times New Roman" w:hAnsi="Times New Roman" w:cs="Times New Roman"/>
          <w:i/>
          <w:iCs/>
        </w:rPr>
        <w:t>Giurisprudenza costituzionale</w:t>
      </w:r>
      <w:r w:rsidRPr="00123A4F">
        <w:rPr>
          <w:rFonts w:ascii="Times New Roman" w:hAnsi="Times New Roman" w:cs="Times New Roman"/>
        </w:rPr>
        <w:t xml:space="preserve">, 2024, 6, p. 2789 ss. Per l’A. </w:t>
      </w:r>
      <w:r w:rsidRPr="00123A4F">
        <w:rPr>
          <w:rFonts w:ascii="Times New Roman" w:hAnsi="Times New Roman" w:cs="Times New Roman"/>
          <w:lang w:eastAsia="it-IT"/>
        </w:rPr>
        <w:t xml:space="preserve">«[s]i potrebbe ragionare intorno all'inversione temporale dei due strumenti della disapplicazione e della sollevazione dell'incidente di costituzionalità rispetto all'ipotesi appena esaminata, vale a dire ammettere l'eventualità che il giudice comune </w:t>
      </w:r>
      <w:r w:rsidRPr="00123A4F">
        <w:rPr>
          <w:rStyle w:val="corsivo"/>
          <w:rFonts w:ascii="Times New Roman" w:hAnsi="Times New Roman" w:cs="Times New Roman"/>
          <w:lang w:eastAsia="it-IT"/>
        </w:rPr>
        <w:t>dapprima</w:t>
      </w:r>
      <w:r w:rsidRPr="00123A4F">
        <w:rPr>
          <w:rFonts w:ascii="Times New Roman" w:hAnsi="Times New Roman" w:cs="Times New Roman"/>
          <w:lang w:eastAsia="it-IT"/>
        </w:rPr>
        <w:t xml:space="preserve"> sollevi, ricorrendone i presupposti, la questione di legittimità alla Corte costituzionale e </w:t>
      </w:r>
      <w:r w:rsidRPr="00123A4F">
        <w:rPr>
          <w:rStyle w:val="corsivo"/>
          <w:rFonts w:ascii="Times New Roman" w:hAnsi="Times New Roman" w:cs="Times New Roman"/>
          <w:lang w:eastAsia="it-IT"/>
        </w:rPr>
        <w:t>successivamente</w:t>
      </w:r>
      <w:r w:rsidRPr="00123A4F">
        <w:rPr>
          <w:rFonts w:ascii="Times New Roman" w:hAnsi="Times New Roman" w:cs="Times New Roman"/>
          <w:lang w:eastAsia="it-IT"/>
        </w:rPr>
        <w:t>, in pendenza della decisione di quest'ultima e, pertanto, a giudizio sospeso, disponga la disapplicazione della norma interna incompatibile col diritto dell’UE direttamente applicabile».</w:t>
      </w:r>
    </w:p>
  </w:footnote>
  <w:footnote w:id="67">
    <w:p w14:paraId="55DD9CF6" w14:textId="58F8A57D" w:rsidR="00454758" w:rsidRPr="00123A4F" w:rsidRDefault="00454758">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Si veda ad esempio </w:t>
      </w:r>
      <w:r w:rsidR="00FE5759" w:rsidRPr="00123A4F">
        <w:rPr>
          <w:rFonts w:ascii="Times New Roman" w:hAnsi="Times New Roman" w:cs="Times New Roman"/>
        </w:rPr>
        <w:t xml:space="preserve">CGUE, </w:t>
      </w:r>
      <w:r w:rsidRPr="00123A4F">
        <w:rPr>
          <w:rFonts w:ascii="Times New Roman" w:hAnsi="Times New Roman" w:cs="Times New Roman"/>
          <w:lang w:eastAsia="it-IT"/>
        </w:rPr>
        <w:t xml:space="preserve">sentenza 4 giugno 2015, C-5/14, </w:t>
      </w:r>
      <w:proofErr w:type="spellStart"/>
      <w:r w:rsidRPr="00123A4F">
        <w:rPr>
          <w:rFonts w:ascii="Times New Roman" w:hAnsi="Times New Roman" w:cs="Times New Roman"/>
          <w:i/>
          <w:iCs/>
          <w:lang w:eastAsia="it-IT"/>
        </w:rPr>
        <w:t>Kernkraftwerke</w:t>
      </w:r>
      <w:proofErr w:type="spellEnd"/>
      <w:r w:rsidRPr="00123A4F">
        <w:rPr>
          <w:rFonts w:ascii="Times New Roman" w:hAnsi="Times New Roman" w:cs="Times New Roman"/>
          <w:i/>
          <w:iCs/>
          <w:lang w:eastAsia="it-IT"/>
        </w:rPr>
        <w:t xml:space="preserve"> Lippe-Ems</w:t>
      </w:r>
      <w:r w:rsidR="00FE5759" w:rsidRPr="00123A4F">
        <w:rPr>
          <w:rFonts w:ascii="Times New Roman" w:hAnsi="Times New Roman" w:cs="Times New Roman"/>
          <w:i/>
          <w:iCs/>
          <w:lang w:eastAsia="it-IT"/>
        </w:rPr>
        <w:t>,</w:t>
      </w:r>
      <w:r w:rsidR="00FE5759" w:rsidRPr="00123A4F">
        <w:rPr>
          <w:rFonts w:ascii="Times New Roman" w:hAnsi="Times New Roman" w:cs="Times New Roman"/>
          <w:lang w:eastAsia="it-IT"/>
        </w:rPr>
        <w:t xml:space="preserve"> punti 29-36.</w:t>
      </w:r>
    </w:p>
  </w:footnote>
  <w:footnote w:id="68">
    <w:p w14:paraId="67A28C06" w14:textId="20B89A8E" w:rsidR="00E44A99" w:rsidRPr="00123A4F" w:rsidRDefault="00E44A99"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C40D01" w:rsidRPr="00123A4F">
        <w:rPr>
          <w:rFonts w:ascii="Times New Roman" w:hAnsi="Times New Roman" w:cs="Times New Roman"/>
        </w:rPr>
        <w:t>A tenore dell’art. 21 delle Norme integrative per i giudizi davanti alla Corte costituzionale, l</w:t>
      </w:r>
      <w:r w:rsidRPr="00123A4F">
        <w:rPr>
          <w:rFonts w:ascii="Times New Roman" w:hAnsi="Times New Roman" w:cs="Times New Roman"/>
        </w:rPr>
        <w:t xml:space="preserve">’irrilevanza sopravvenuta resta </w:t>
      </w:r>
      <w:r w:rsidR="00AF568A" w:rsidRPr="00123A4F">
        <w:rPr>
          <w:rFonts w:ascii="Times New Roman" w:hAnsi="Times New Roman" w:cs="Times New Roman"/>
        </w:rPr>
        <w:t>priva di effetti sul corso del giudizio incidentale ritualmente incardinato</w:t>
      </w:r>
      <w:r w:rsidR="00C40D01" w:rsidRPr="00123A4F">
        <w:rPr>
          <w:rFonts w:ascii="Times New Roman" w:hAnsi="Times New Roman" w:cs="Times New Roman"/>
        </w:rPr>
        <w:t>.</w:t>
      </w:r>
    </w:p>
  </w:footnote>
  <w:footnote w:id="69">
    <w:p w14:paraId="6EE2DAB1" w14:textId="15BCCB02" w:rsidR="00A4639E" w:rsidRPr="00123A4F" w:rsidRDefault="00A4639E" w:rsidP="00A4639E">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CGUE,  9 settembre 2010, C-409/06, </w:t>
      </w:r>
      <w:r w:rsidRPr="00123A4F">
        <w:rPr>
          <w:rFonts w:ascii="Times New Roman" w:hAnsi="Times New Roman" w:cs="Times New Roman"/>
          <w:i/>
          <w:iCs/>
        </w:rPr>
        <w:t>Wi</w:t>
      </w:r>
      <w:r w:rsidR="000E39B0" w:rsidRPr="00123A4F">
        <w:rPr>
          <w:rFonts w:ascii="Times New Roman" w:hAnsi="Times New Roman" w:cs="Times New Roman"/>
          <w:i/>
          <w:iCs/>
        </w:rPr>
        <w:t>e</w:t>
      </w:r>
      <w:r w:rsidRPr="00123A4F">
        <w:rPr>
          <w:rFonts w:ascii="Times New Roman" w:hAnsi="Times New Roman" w:cs="Times New Roman"/>
          <w:i/>
          <w:iCs/>
        </w:rPr>
        <w:t xml:space="preserve">ner </w:t>
      </w:r>
      <w:proofErr w:type="spellStart"/>
      <w:r w:rsidRPr="00123A4F">
        <w:rPr>
          <w:rFonts w:ascii="Times New Roman" w:hAnsi="Times New Roman" w:cs="Times New Roman"/>
          <w:i/>
          <w:iCs/>
        </w:rPr>
        <w:t>Wetten</w:t>
      </w:r>
      <w:proofErr w:type="spellEnd"/>
      <w:r w:rsidRPr="00123A4F">
        <w:rPr>
          <w:rFonts w:ascii="Times New Roman" w:hAnsi="Times New Roman" w:cs="Times New Roman"/>
        </w:rPr>
        <w:t>, punti 56-57: «[…] è incompatibile con le esigenze inerenti alla natura stessa del diritto dell’Unione qualsiasi disposizione facente parte dell’ordinamento giuridico di uno Stato membro o qualsiasi prassi, legislativa, amministrativa o giudiziaria, la quale porti ad una riduzione della concreta efficacia del diritto dell’Unione per il fatto che sia negato al giudice, competente ad applicare questo diritto, il potere di fare, all’atto stesso di tale applicazione, tutto quanto è necessario per disapplicare le disposizioni legislative nazionali che eventualmente ostino alla piena efficacia delle norme direttamente applicabili del diritto dell’Unione. La Corte ha precisato che ciò si verificherebbe in particolare qualora, in caso di conflitto tra una disposizione del diritto dell’Unione ed una legge nazionale posteriore, la soluzione di tale conflitto fosse riservata ad un organo diverso dal giudice cui è affidato il compito di garantire l’applicazione del diritto dell’Unione, e dotato di un autonomo potere di valutazione, anche se l’ostacolo in tal modo frapposto alla piena efficacia di tale diritto fosse soltanto temporaneo». In sens</w:t>
      </w:r>
      <w:r w:rsidR="004131BA" w:rsidRPr="00123A4F">
        <w:rPr>
          <w:rFonts w:ascii="Times New Roman" w:hAnsi="Times New Roman" w:cs="Times New Roman"/>
        </w:rPr>
        <w:t xml:space="preserve">o </w:t>
      </w:r>
      <w:r w:rsidRPr="00123A4F">
        <w:rPr>
          <w:rFonts w:ascii="Times New Roman" w:hAnsi="Times New Roman" w:cs="Times New Roman"/>
        </w:rPr>
        <w:t>analog</w:t>
      </w:r>
      <w:r w:rsidR="004131BA" w:rsidRPr="00123A4F">
        <w:rPr>
          <w:rFonts w:ascii="Times New Roman" w:hAnsi="Times New Roman" w:cs="Times New Roman"/>
        </w:rPr>
        <w:t>o</w:t>
      </w:r>
      <w:r w:rsidRPr="00123A4F">
        <w:rPr>
          <w:rFonts w:ascii="Times New Roman" w:hAnsi="Times New Roman" w:cs="Times New Roman"/>
        </w:rPr>
        <w:t xml:space="preserve"> già CGUE (Grande Sezione), sentenza 22 giugno 2010, cause riunite C-188/10 e C-189/10, </w:t>
      </w:r>
      <w:r w:rsidRPr="00123A4F">
        <w:rPr>
          <w:rFonts w:ascii="Times New Roman" w:hAnsi="Times New Roman" w:cs="Times New Roman"/>
          <w:i/>
          <w:iCs/>
        </w:rPr>
        <w:t xml:space="preserve">Aziz Melki e </w:t>
      </w:r>
      <w:proofErr w:type="spellStart"/>
      <w:r w:rsidRPr="00123A4F">
        <w:rPr>
          <w:rFonts w:ascii="Times New Roman" w:hAnsi="Times New Roman" w:cs="Times New Roman"/>
          <w:i/>
          <w:iCs/>
        </w:rPr>
        <w:t>Sélim</w:t>
      </w:r>
      <w:proofErr w:type="spellEnd"/>
      <w:r w:rsidRPr="00123A4F">
        <w:rPr>
          <w:rFonts w:ascii="Times New Roman" w:hAnsi="Times New Roman" w:cs="Times New Roman"/>
          <w:i/>
          <w:iCs/>
        </w:rPr>
        <w:t xml:space="preserve"> Abdeli</w:t>
      </w:r>
      <w:r w:rsidRPr="00123A4F">
        <w:rPr>
          <w:rFonts w:ascii="Times New Roman" w:hAnsi="Times New Roman" w:cs="Times New Roman"/>
        </w:rPr>
        <w:t>, punto 44.</w:t>
      </w:r>
    </w:p>
  </w:footnote>
  <w:footnote w:id="70">
    <w:p w14:paraId="4D087465" w14:textId="43BECFA6"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Riflette sul punto </w:t>
      </w:r>
      <w:r w:rsidRPr="00123A4F">
        <w:rPr>
          <w:rFonts w:ascii="Times New Roman" w:hAnsi="Times New Roman" w:cs="Times New Roman"/>
          <w:smallCaps/>
        </w:rPr>
        <w:t>A. Chiappetta</w:t>
      </w:r>
      <w:r w:rsidRPr="00123A4F">
        <w:rPr>
          <w:rFonts w:ascii="Times New Roman" w:hAnsi="Times New Roman" w:cs="Times New Roman"/>
        </w:rPr>
        <w:t xml:space="preserve">, </w:t>
      </w:r>
      <w:r w:rsidRPr="00123A4F">
        <w:rPr>
          <w:rFonts w:ascii="Times New Roman" w:hAnsi="Times New Roman" w:cs="Times New Roman"/>
          <w:i/>
          <w:iCs/>
        </w:rPr>
        <w:t>Sindacato accentrato e diritto dell’Unione europea</w:t>
      </w:r>
      <w:r w:rsidRPr="00123A4F">
        <w:rPr>
          <w:rFonts w:ascii="Times New Roman" w:hAnsi="Times New Roman" w:cs="Times New Roman"/>
        </w:rPr>
        <w:t xml:space="preserve">, op. cit., p. 290, </w:t>
      </w:r>
      <w:r w:rsidR="00382FE6" w:rsidRPr="00123A4F">
        <w:rPr>
          <w:rFonts w:ascii="Times New Roman" w:hAnsi="Times New Roman" w:cs="Times New Roman"/>
        </w:rPr>
        <w:t>il quale, rilevato che</w:t>
      </w:r>
      <w:r w:rsidR="006F6F0C" w:rsidRPr="00123A4F">
        <w:rPr>
          <w:rFonts w:ascii="Times New Roman" w:hAnsi="Times New Roman" w:cs="Times New Roman"/>
        </w:rPr>
        <w:t>,</w:t>
      </w:r>
      <w:r w:rsidR="00382FE6" w:rsidRPr="00123A4F">
        <w:rPr>
          <w:rFonts w:ascii="Times New Roman" w:hAnsi="Times New Roman" w:cs="Times New Roman"/>
        </w:rPr>
        <w:t xml:space="preserve"> a mente dell’art.</w:t>
      </w:r>
      <w:r w:rsidRPr="00123A4F">
        <w:rPr>
          <w:rFonts w:ascii="Times New Roman" w:hAnsi="Times New Roman" w:cs="Times New Roman"/>
        </w:rPr>
        <w:t xml:space="preserve"> 23 della legge n. 87 del 1953</w:t>
      </w:r>
      <w:r w:rsidR="006F6F0C" w:rsidRPr="00123A4F">
        <w:rPr>
          <w:rFonts w:ascii="Times New Roman" w:hAnsi="Times New Roman" w:cs="Times New Roman"/>
        </w:rPr>
        <w:t>,</w:t>
      </w:r>
      <w:r w:rsidRPr="00123A4F">
        <w:rPr>
          <w:rFonts w:ascii="Times New Roman" w:hAnsi="Times New Roman" w:cs="Times New Roman"/>
        </w:rPr>
        <w:t xml:space="preserve"> l’ordinanza di rimessione sospende il giudizio in corso</w:t>
      </w:r>
      <w:r w:rsidR="006F6F0C" w:rsidRPr="00123A4F">
        <w:rPr>
          <w:rFonts w:ascii="Times New Roman" w:hAnsi="Times New Roman" w:cs="Times New Roman"/>
        </w:rPr>
        <w:t>, si chiede quale sia «</w:t>
      </w:r>
      <w:r w:rsidRPr="00123A4F">
        <w:rPr>
          <w:rFonts w:ascii="Times New Roman" w:hAnsi="Times New Roman" w:cs="Times New Roman"/>
        </w:rPr>
        <w:t xml:space="preserve">l’elemento idoneo a legittimare la ‘sospensione della sospensione’ che sola potrebbe autorizzare la ripresa delle attività processuali nel giudizio </w:t>
      </w:r>
      <w:r w:rsidRPr="00123A4F">
        <w:rPr>
          <w:rFonts w:ascii="Times New Roman" w:hAnsi="Times New Roman" w:cs="Times New Roman"/>
          <w:i/>
          <w:iCs/>
        </w:rPr>
        <w:t>a quo</w:t>
      </w:r>
      <w:r w:rsidRPr="00123A4F">
        <w:rPr>
          <w:rFonts w:ascii="Times New Roman" w:hAnsi="Times New Roman" w:cs="Times New Roman"/>
        </w:rPr>
        <w:t>, per giunta con un atto – come è la disapplicazione – certamente non poco invasivo».</w:t>
      </w:r>
    </w:p>
  </w:footnote>
  <w:footnote w:id="71">
    <w:p w14:paraId="44645541" w14:textId="4B7952CF" w:rsidR="00FE5759" w:rsidRPr="00123A4F" w:rsidRDefault="00A4639E"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Pr="00123A4F">
        <w:rPr>
          <w:rFonts w:ascii="Times New Roman" w:hAnsi="Times New Roman" w:cs="Times New Roman"/>
          <w:smallCaps/>
        </w:rPr>
        <w:t>A. Chiappetta</w:t>
      </w:r>
      <w:r w:rsidRPr="00123A4F">
        <w:rPr>
          <w:rFonts w:ascii="Times New Roman" w:hAnsi="Times New Roman" w:cs="Times New Roman"/>
        </w:rPr>
        <w:t xml:space="preserve">, </w:t>
      </w:r>
      <w:proofErr w:type="spellStart"/>
      <w:r w:rsidR="00FF3EEB" w:rsidRPr="00123A4F">
        <w:rPr>
          <w:rFonts w:ascii="Times New Roman" w:hAnsi="Times New Roman" w:cs="Times New Roman"/>
        </w:rPr>
        <w:t>ult</w:t>
      </w:r>
      <w:proofErr w:type="spellEnd"/>
      <w:r w:rsidR="00FF3EEB" w:rsidRPr="00123A4F">
        <w:rPr>
          <w:rFonts w:ascii="Times New Roman" w:hAnsi="Times New Roman" w:cs="Times New Roman"/>
        </w:rPr>
        <w:t xml:space="preserve">. </w:t>
      </w:r>
      <w:r w:rsidR="00FE5759" w:rsidRPr="00123A4F">
        <w:rPr>
          <w:rFonts w:ascii="Times New Roman" w:hAnsi="Times New Roman" w:cs="Times New Roman"/>
        </w:rPr>
        <w:t xml:space="preserve">op. cit., </w:t>
      </w:r>
      <w:r w:rsidRPr="00123A4F">
        <w:rPr>
          <w:rFonts w:ascii="Times New Roman" w:hAnsi="Times New Roman" w:cs="Times New Roman"/>
        </w:rPr>
        <w:t xml:space="preserve">p. </w:t>
      </w:r>
      <w:r w:rsidR="00FF3EEB" w:rsidRPr="00123A4F">
        <w:rPr>
          <w:rFonts w:ascii="Times New Roman" w:hAnsi="Times New Roman" w:cs="Times New Roman"/>
        </w:rPr>
        <w:t>292</w:t>
      </w:r>
      <w:r w:rsidRPr="00123A4F">
        <w:rPr>
          <w:rFonts w:ascii="Times New Roman" w:hAnsi="Times New Roman" w:cs="Times New Roman"/>
        </w:rPr>
        <w:t xml:space="preserve"> ss. </w:t>
      </w:r>
      <w:r w:rsidR="00FE5759" w:rsidRPr="00123A4F">
        <w:rPr>
          <w:rFonts w:ascii="Times New Roman" w:hAnsi="Times New Roman" w:cs="Times New Roman"/>
        </w:rPr>
        <w:t xml:space="preserve">Per l’A. la soluzione porterebbe a scongiurare «il pericolo di giustapporre, senza concreti margini di compenetrazione, la garanzia giurisdizionale del diritto UE a quella sistemico-ordinamentale». </w:t>
      </w:r>
    </w:p>
  </w:footnote>
  <w:footnote w:id="72">
    <w:p w14:paraId="0AA4FB4E" w14:textId="193A1D1D" w:rsidR="00A4639E" w:rsidRPr="00123A4F" w:rsidRDefault="00A4639E" w:rsidP="00FB7D6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15040A" w:rsidRPr="00123A4F">
        <w:rPr>
          <w:rFonts w:ascii="Times New Roman" w:hAnsi="Times New Roman" w:cs="Times New Roman"/>
        </w:rPr>
        <w:t xml:space="preserve">A ciò legittimato dalla consolidata giurisprudenza lussemburghese: v. </w:t>
      </w:r>
      <w:r w:rsidRPr="00123A4F">
        <w:rPr>
          <w:rFonts w:ascii="Times New Roman" w:hAnsi="Times New Roman" w:cs="Times New Roman"/>
          <w:lang w:eastAsia="it-IT"/>
        </w:rPr>
        <w:t xml:space="preserve">CGUE, sentenza </w:t>
      </w:r>
      <w:proofErr w:type="spellStart"/>
      <w:r w:rsidRPr="00123A4F">
        <w:rPr>
          <w:rFonts w:ascii="Times New Roman" w:hAnsi="Times New Roman" w:cs="Times New Roman"/>
          <w:i/>
          <w:iCs/>
          <w:lang w:eastAsia="it-IT"/>
        </w:rPr>
        <w:t>Kernkraftwerke</w:t>
      </w:r>
      <w:proofErr w:type="spellEnd"/>
      <w:r w:rsidRPr="00123A4F">
        <w:rPr>
          <w:rFonts w:ascii="Times New Roman" w:hAnsi="Times New Roman" w:cs="Times New Roman"/>
          <w:i/>
          <w:iCs/>
          <w:lang w:eastAsia="it-IT"/>
        </w:rPr>
        <w:t xml:space="preserve"> Lippe-Ems</w:t>
      </w:r>
      <w:r w:rsidRPr="00123A4F">
        <w:rPr>
          <w:rFonts w:ascii="Times New Roman" w:hAnsi="Times New Roman" w:cs="Times New Roman"/>
          <w:lang w:eastAsia="it-IT"/>
        </w:rPr>
        <w:t xml:space="preserve">, </w:t>
      </w:r>
      <w:r w:rsidR="00FE5759" w:rsidRPr="00123A4F">
        <w:rPr>
          <w:rFonts w:ascii="Times New Roman" w:hAnsi="Times New Roman" w:cs="Times New Roman"/>
          <w:lang w:eastAsia="it-IT"/>
        </w:rPr>
        <w:t xml:space="preserve">cit. </w:t>
      </w:r>
      <w:r w:rsidRPr="00123A4F">
        <w:rPr>
          <w:rFonts w:ascii="Times New Roman" w:hAnsi="Times New Roman" w:cs="Times New Roman"/>
          <w:lang w:eastAsia="it-IT"/>
        </w:rPr>
        <w:t>punti 29-36.</w:t>
      </w:r>
    </w:p>
  </w:footnote>
  <w:footnote w:id="73">
    <w:p w14:paraId="6370FBC7" w14:textId="70465FEE" w:rsidR="000E39B0" w:rsidRPr="00123A4F" w:rsidRDefault="000E39B0"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Sul presunto pregiudizio per l’immediatezza della tutela dei diritti riconosciuti dalla norma UE riflette da ultimo </w:t>
      </w:r>
      <w:r w:rsidRPr="00123A4F">
        <w:rPr>
          <w:rFonts w:ascii="Times New Roman" w:hAnsi="Times New Roman" w:cs="Times New Roman"/>
          <w:smallCaps/>
        </w:rPr>
        <w:t>P. De Pasquale</w:t>
      </w:r>
      <w:r w:rsidRPr="00123A4F">
        <w:rPr>
          <w:rFonts w:ascii="Times New Roman" w:hAnsi="Times New Roman" w:cs="Times New Roman"/>
        </w:rPr>
        <w:t xml:space="preserve">, </w:t>
      </w:r>
      <w:r w:rsidRPr="00123A4F">
        <w:rPr>
          <w:rFonts w:ascii="Times New Roman" w:hAnsi="Times New Roman" w:cs="Times New Roman"/>
          <w:i/>
          <w:iCs/>
        </w:rPr>
        <w:t>Il dialogo tra le Corti. Uniformità del diritto UE e rimedi interni: perché l’intervento accentrato della Consulta è talvolta necessario</w:t>
      </w:r>
      <w:r w:rsidRPr="00123A4F">
        <w:rPr>
          <w:rFonts w:ascii="Times New Roman" w:hAnsi="Times New Roman" w:cs="Times New Roman"/>
        </w:rPr>
        <w:t xml:space="preserve">, in </w:t>
      </w:r>
      <w:r w:rsidRPr="00123A4F">
        <w:rPr>
          <w:rFonts w:ascii="Times New Roman" w:hAnsi="Times New Roman" w:cs="Times New Roman"/>
          <w:i/>
          <w:iCs/>
        </w:rPr>
        <w:t>Unione europea e diritti</w:t>
      </w:r>
      <w:r w:rsidRPr="00123A4F">
        <w:rPr>
          <w:rFonts w:ascii="Times New Roman" w:hAnsi="Times New Roman" w:cs="Times New Roman"/>
        </w:rPr>
        <w:t>, n. 1/2026, p. 20. Per l’Autrice «non soltanto assume rilievo decisivo il carattere selettivo del criterio del “tono costituzionale”, ma soprattutto non va dimenticato che, nelle more del giudizio di costituzionalità, il consociato può beneficiare di una misura cautelare».</w:t>
      </w:r>
    </w:p>
  </w:footnote>
  <w:footnote w:id="74">
    <w:p w14:paraId="3D28C7E8" w14:textId="614B90AF" w:rsidR="0023473B" w:rsidRPr="00123A4F" w:rsidRDefault="0023473B" w:rsidP="00FE5759">
      <w:pPr>
        <w:pStyle w:val="NormaleWeb"/>
        <w:suppressAutoHyphens/>
        <w:autoSpaceDN w:val="0"/>
        <w:spacing w:before="0" w:beforeAutospacing="0" w:after="0" w:afterAutospacing="0"/>
        <w:contextualSpacing/>
        <w:jc w:val="both"/>
        <w:rPr>
          <w:sz w:val="20"/>
          <w:szCs w:val="20"/>
        </w:rPr>
      </w:pPr>
      <w:r w:rsidRPr="00123A4F">
        <w:rPr>
          <w:rStyle w:val="Rimandonotaapidipagina"/>
          <w:sz w:val="20"/>
          <w:szCs w:val="20"/>
        </w:rPr>
        <w:footnoteRef/>
      </w:r>
      <w:r w:rsidRPr="00123A4F">
        <w:rPr>
          <w:sz w:val="20"/>
          <w:szCs w:val="20"/>
        </w:rPr>
        <w:t xml:space="preserve"> </w:t>
      </w:r>
      <w:r w:rsidR="00FE5759" w:rsidRPr="00123A4F">
        <w:rPr>
          <w:sz w:val="20"/>
          <w:szCs w:val="20"/>
        </w:rPr>
        <w:t xml:space="preserve">Lo rileva, da ultimo, </w:t>
      </w:r>
      <w:r w:rsidR="00FE5759" w:rsidRPr="00123A4F">
        <w:rPr>
          <w:smallCaps/>
          <w:sz w:val="20"/>
          <w:szCs w:val="20"/>
        </w:rPr>
        <w:t>R. Mastroianni</w:t>
      </w:r>
      <w:r w:rsidR="00FE5759" w:rsidRPr="00123A4F">
        <w:rPr>
          <w:sz w:val="20"/>
          <w:szCs w:val="20"/>
        </w:rPr>
        <w:t xml:space="preserve">, </w:t>
      </w:r>
      <w:r w:rsidR="00FE5759" w:rsidRPr="00123A4F">
        <w:rPr>
          <w:i/>
          <w:iCs/>
          <w:sz w:val="20"/>
          <w:szCs w:val="20"/>
        </w:rPr>
        <w:t>La sentenza della Corte costituzionale n. 181 del 2024 in tema di rapporti tra ordinamenti, ovvero la scomparsa dell’articolo 11 della Costituzione</w:t>
      </w:r>
      <w:r w:rsidR="00FE5759" w:rsidRPr="00123A4F">
        <w:rPr>
          <w:sz w:val="20"/>
          <w:szCs w:val="20"/>
        </w:rPr>
        <w:t xml:space="preserve">, in </w:t>
      </w:r>
      <w:r w:rsidR="00FE5759" w:rsidRPr="00123A4F">
        <w:rPr>
          <w:i/>
          <w:iCs/>
          <w:sz w:val="20"/>
          <w:szCs w:val="20"/>
        </w:rPr>
        <w:t>Quaderni AISDUE</w:t>
      </w:r>
      <w:r w:rsidR="00FE5759" w:rsidRPr="00123A4F">
        <w:rPr>
          <w:sz w:val="20"/>
          <w:szCs w:val="20"/>
        </w:rPr>
        <w:t>, 2025, 1, p. 16.</w:t>
      </w:r>
    </w:p>
  </w:footnote>
  <w:footnote w:id="75">
    <w:p w14:paraId="22BAE20C" w14:textId="77777777" w:rsidR="0015040A" w:rsidRPr="00123A4F" w:rsidRDefault="0015040A" w:rsidP="0015040A">
      <w:pPr>
        <w:pStyle w:val="Testonotaapidipagina"/>
        <w:jc w:val="both"/>
        <w:rPr>
          <w:rFonts w:ascii="Times New Roman" w:hAnsi="Times New Roman" w:cs="Times New Roman"/>
          <w:highlight w:val="yellow"/>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Cfr. </w:t>
      </w:r>
      <w:r w:rsidRPr="00123A4F">
        <w:rPr>
          <w:rFonts w:ascii="Times New Roman" w:hAnsi="Times New Roman" w:cs="Times New Roman"/>
          <w:smallCaps/>
        </w:rPr>
        <w:t>C. Amalfitano</w:t>
      </w:r>
      <w:r w:rsidRPr="00123A4F">
        <w:rPr>
          <w:rFonts w:ascii="Times New Roman" w:hAnsi="Times New Roman" w:cs="Times New Roman"/>
        </w:rPr>
        <w:t xml:space="preserve">, </w:t>
      </w:r>
      <w:r w:rsidRPr="00123A4F">
        <w:rPr>
          <w:rFonts w:ascii="Times New Roman" w:hAnsi="Times New Roman" w:cs="Times New Roman"/>
          <w:i/>
          <w:iCs/>
        </w:rPr>
        <w:t>Il dialogo tra giudice comune</w:t>
      </w:r>
      <w:r w:rsidRPr="00123A4F">
        <w:rPr>
          <w:rFonts w:ascii="Times New Roman" w:hAnsi="Times New Roman" w:cs="Times New Roman"/>
        </w:rPr>
        <w:t xml:space="preserve">, </w:t>
      </w:r>
      <w:r w:rsidRPr="00123A4F">
        <w:rPr>
          <w:rFonts w:ascii="Times New Roman" w:hAnsi="Times New Roman" w:cs="Times New Roman"/>
          <w:i/>
          <w:iCs/>
        </w:rPr>
        <w:t>Corte di giustizia e Corte costituzionale dopo l’obiter dictum della sentenza n. 269/2017</w:t>
      </w:r>
      <w:r w:rsidRPr="00123A4F">
        <w:rPr>
          <w:rFonts w:ascii="Times New Roman" w:hAnsi="Times New Roman" w:cs="Times New Roman"/>
        </w:rPr>
        <w:t xml:space="preserve">, in </w:t>
      </w:r>
      <w:r w:rsidRPr="00123A4F">
        <w:rPr>
          <w:rFonts w:ascii="Times New Roman" w:hAnsi="Times New Roman" w:cs="Times New Roman"/>
          <w:i/>
          <w:iCs/>
        </w:rPr>
        <w:t>Osservatorio sulle fonti,</w:t>
      </w:r>
      <w:r w:rsidRPr="00123A4F">
        <w:rPr>
          <w:rFonts w:ascii="Times New Roman" w:hAnsi="Times New Roman" w:cs="Times New Roman"/>
        </w:rPr>
        <w:t xml:space="preserve"> 2019, 2, p. 26; </w:t>
      </w:r>
      <w:r w:rsidRPr="00123A4F">
        <w:rPr>
          <w:rFonts w:ascii="Times New Roman" w:hAnsi="Times New Roman" w:cs="Times New Roman"/>
          <w:smallCaps/>
        </w:rPr>
        <w:t>Id.</w:t>
      </w:r>
      <w:r w:rsidRPr="00123A4F">
        <w:rPr>
          <w:rFonts w:ascii="Times New Roman" w:hAnsi="Times New Roman" w:cs="Times New Roman"/>
        </w:rPr>
        <w:t xml:space="preserve">, </w:t>
      </w:r>
      <w:r w:rsidRPr="00123A4F">
        <w:rPr>
          <w:rFonts w:ascii="Times New Roman" w:hAnsi="Times New Roman" w:cs="Times New Roman"/>
          <w:i/>
          <w:iCs/>
        </w:rPr>
        <w:t>Tanto tuonò che piovve</w:t>
      </w:r>
      <w:r w:rsidRPr="00123A4F">
        <w:rPr>
          <w:rFonts w:ascii="Times New Roman" w:hAnsi="Times New Roman" w:cs="Times New Roman"/>
        </w:rPr>
        <w:t xml:space="preserve">, cit., p. 263 ss.; </w:t>
      </w:r>
      <w:r w:rsidRPr="00123A4F">
        <w:rPr>
          <w:rFonts w:ascii="Times New Roman" w:hAnsi="Times New Roman" w:cs="Times New Roman"/>
          <w:smallCaps/>
        </w:rPr>
        <w:t>F. Donati</w:t>
      </w:r>
      <w:r w:rsidRPr="00123A4F">
        <w:rPr>
          <w:rFonts w:ascii="Times New Roman" w:hAnsi="Times New Roman" w:cs="Times New Roman"/>
        </w:rPr>
        <w:t xml:space="preserve">, </w:t>
      </w:r>
      <w:r w:rsidRPr="00123A4F">
        <w:rPr>
          <w:rFonts w:ascii="Times New Roman" w:hAnsi="Times New Roman" w:cs="Times New Roman"/>
          <w:i/>
          <w:iCs/>
        </w:rPr>
        <w:t xml:space="preserve">I principi del primato e dell’effetto diretto del diritto dell’Unione in un sistema di tutele concorrenti dei diritti fondamentali, in federalismi.it, </w:t>
      </w:r>
      <w:r w:rsidRPr="00123A4F">
        <w:rPr>
          <w:rFonts w:ascii="Times New Roman" w:hAnsi="Times New Roman" w:cs="Times New Roman"/>
        </w:rPr>
        <w:t xml:space="preserve">2020, 12, p. 124 </w:t>
      </w:r>
      <w:proofErr w:type="spellStart"/>
      <w:r w:rsidRPr="00123A4F">
        <w:rPr>
          <w:rFonts w:ascii="Times New Roman" w:hAnsi="Times New Roman" w:cs="Times New Roman"/>
        </w:rPr>
        <w:t>ss</w:t>
      </w:r>
      <w:proofErr w:type="spellEnd"/>
      <w:r w:rsidRPr="00123A4F">
        <w:rPr>
          <w:rFonts w:ascii="Times New Roman" w:hAnsi="Times New Roman" w:cs="Times New Roman"/>
        </w:rPr>
        <w:t xml:space="preserve">; </w:t>
      </w:r>
      <w:r w:rsidRPr="00123A4F">
        <w:rPr>
          <w:rFonts w:ascii="Times New Roman" w:hAnsi="Times New Roman" w:cs="Times New Roman"/>
          <w:smallCaps/>
        </w:rPr>
        <w:t>Id</w:t>
      </w:r>
      <w:r w:rsidRPr="00123A4F">
        <w:rPr>
          <w:rFonts w:ascii="Times New Roman" w:hAnsi="Times New Roman" w:cs="Times New Roman"/>
        </w:rPr>
        <w:t xml:space="preserve">., </w:t>
      </w:r>
      <w:r w:rsidRPr="00123A4F">
        <w:rPr>
          <w:rFonts w:ascii="Times New Roman" w:hAnsi="Times New Roman" w:cs="Times New Roman"/>
          <w:i/>
          <w:iCs/>
        </w:rPr>
        <w:t>La questione prioritaria di costituzionalità: presupposti e limiti</w:t>
      </w:r>
      <w:r w:rsidRPr="00123A4F">
        <w:rPr>
          <w:rFonts w:ascii="Times New Roman" w:hAnsi="Times New Roman" w:cs="Times New Roman"/>
        </w:rPr>
        <w:t xml:space="preserve">, in </w:t>
      </w:r>
      <w:r w:rsidRPr="00123A4F">
        <w:rPr>
          <w:rFonts w:ascii="Times New Roman" w:hAnsi="Times New Roman" w:cs="Times New Roman"/>
          <w:i/>
          <w:iCs/>
        </w:rPr>
        <w:t>federalismi.it</w:t>
      </w:r>
      <w:r w:rsidRPr="00123A4F">
        <w:rPr>
          <w:rFonts w:ascii="Times New Roman" w:hAnsi="Times New Roman" w:cs="Times New Roman"/>
        </w:rPr>
        <w:t>, 2021, 3, p. 9.</w:t>
      </w:r>
    </w:p>
  </w:footnote>
  <w:footnote w:id="76">
    <w:p w14:paraId="1A524CBD" w14:textId="1F6C8502" w:rsidR="00FE5759" w:rsidRPr="00123A4F" w:rsidRDefault="00192820" w:rsidP="005A3F14">
      <w:pPr>
        <w:pStyle w:val="Testonotaapidipagina"/>
        <w:jc w:val="both"/>
        <w:rPr>
          <w:rFonts w:ascii="Times New Roman" w:hAnsi="Times New Roman" w:cs="Times New Roman"/>
          <w:smallCaps/>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C40D01" w:rsidRPr="00123A4F">
        <w:rPr>
          <w:rFonts w:ascii="Times New Roman" w:hAnsi="Times New Roman" w:cs="Times New Roman"/>
        </w:rPr>
        <w:t>Particolarmente reciso, in tale direzione,</w:t>
      </w:r>
      <w:r w:rsidR="00FE5759" w:rsidRPr="00123A4F">
        <w:rPr>
          <w:rFonts w:ascii="Times New Roman" w:hAnsi="Times New Roman" w:cs="Times New Roman"/>
        </w:rPr>
        <w:t xml:space="preserve"> </w:t>
      </w:r>
      <w:r w:rsidR="00FE5759" w:rsidRPr="00123A4F">
        <w:rPr>
          <w:rFonts w:ascii="Times New Roman" w:hAnsi="Times New Roman" w:cs="Times New Roman"/>
          <w:smallCaps/>
        </w:rPr>
        <w:t>G. Zagrebelsky</w:t>
      </w:r>
      <w:r w:rsidR="00FE5759" w:rsidRPr="00123A4F">
        <w:rPr>
          <w:rFonts w:ascii="Times New Roman" w:hAnsi="Times New Roman" w:cs="Times New Roman"/>
        </w:rPr>
        <w:t>, </w:t>
      </w:r>
      <w:r w:rsidR="00FE5759" w:rsidRPr="00123A4F">
        <w:rPr>
          <w:rFonts w:ascii="Times New Roman" w:hAnsi="Times New Roman" w:cs="Times New Roman"/>
          <w:i/>
          <w:iCs/>
        </w:rPr>
        <w:t>La rilevanza: un carattere normale ma non necessario</w:t>
      </w:r>
      <w:r w:rsidR="00FE5759" w:rsidRPr="00123A4F">
        <w:rPr>
          <w:rFonts w:ascii="Times New Roman" w:hAnsi="Times New Roman" w:cs="Times New Roman"/>
        </w:rPr>
        <w:t xml:space="preserve">, in </w:t>
      </w:r>
      <w:r w:rsidR="00FE5759" w:rsidRPr="00123A4F">
        <w:rPr>
          <w:rFonts w:ascii="Times New Roman" w:hAnsi="Times New Roman" w:cs="Times New Roman"/>
          <w:i/>
          <w:iCs/>
        </w:rPr>
        <w:t>Giurisprudenza costituzionale</w:t>
      </w:r>
      <w:r w:rsidR="00FE5759" w:rsidRPr="00123A4F">
        <w:rPr>
          <w:rFonts w:ascii="Times New Roman" w:hAnsi="Times New Roman" w:cs="Times New Roman"/>
        </w:rPr>
        <w:t>, 1969, 1, p. 1010: «L’interesse generale alla eliminazione dall’ordinamento delle norme di legge incostituzionali prevale nettamente sull’interesse del giudice </w:t>
      </w:r>
      <w:r w:rsidR="00FE5759" w:rsidRPr="00123A4F">
        <w:rPr>
          <w:rFonts w:ascii="Times New Roman" w:hAnsi="Times New Roman" w:cs="Times New Roman"/>
          <w:i/>
          <w:iCs/>
        </w:rPr>
        <w:t>a quo</w:t>
      </w:r>
      <w:r w:rsidR="00FE5759" w:rsidRPr="00123A4F">
        <w:rPr>
          <w:rFonts w:ascii="Times New Roman" w:hAnsi="Times New Roman" w:cs="Times New Roman"/>
        </w:rPr>
        <w:t> o delle parti, il quale è soltanto eventuale e non caratterizzante il sistema di instaurazione del giudizio di legittimità costituzionale».</w:t>
      </w:r>
    </w:p>
  </w:footnote>
  <w:footnote w:id="77">
    <w:p w14:paraId="42A44CBE" w14:textId="1D2739BE" w:rsidR="00C40D01" w:rsidRPr="00123A4F" w:rsidRDefault="00C40D01"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81FFA" w:rsidRPr="00123A4F">
        <w:rPr>
          <w:rFonts w:ascii="Times New Roman" w:hAnsi="Times New Roman" w:cs="Times New Roman"/>
          <w:smallCaps/>
        </w:rPr>
        <w:t>G. Scaccia,</w:t>
      </w:r>
      <w:r w:rsidR="00F81FFA" w:rsidRPr="00123A4F">
        <w:rPr>
          <w:rFonts w:ascii="Times New Roman" w:eastAsia="Scotch" w:hAnsi="Times New Roman" w:cs="Times New Roman"/>
          <w:i/>
          <w:iCs/>
        </w:rPr>
        <w:t xml:space="preserve"> Rilevanza della questione di legittimità costituzionale e norme penali di favore: una proposta</w:t>
      </w:r>
      <w:r w:rsidR="00F81FFA" w:rsidRPr="00123A4F">
        <w:rPr>
          <w:rFonts w:ascii="Times New Roman" w:eastAsia="Scotch" w:hAnsi="Times New Roman" w:cs="Times New Roman"/>
        </w:rPr>
        <w:t>, in</w:t>
      </w:r>
      <w:r w:rsidR="005A3F14" w:rsidRPr="00123A4F">
        <w:rPr>
          <w:rFonts w:ascii="Times New Roman" w:eastAsia="Scotch" w:hAnsi="Times New Roman" w:cs="Times New Roman"/>
        </w:rPr>
        <w:t xml:space="preserve"> </w:t>
      </w:r>
      <w:r w:rsidR="00F81FFA" w:rsidRPr="00123A4F">
        <w:rPr>
          <w:rFonts w:ascii="Times New Roman" w:eastAsia="Scotch" w:hAnsi="Times New Roman" w:cs="Times New Roman"/>
          <w:i/>
          <w:iCs/>
        </w:rPr>
        <w:t>Giurisprudenza costituzionale,</w:t>
      </w:r>
      <w:r w:rsidR="00F81FFA" w:rsidRPr="00123A4F">
        <w:rPr>
          <w:rFonts w:ascii="Times New Roman" w:eastAsia="Scotch" w:hAnsi="Times New Roman" w:cs="Times New Roman"/>
        </w:rPr>
        <w:t xml:space="preserve"> 2020, 3, p. 1537 ss.</w:t>
      </w:r>
    </w:p>
  </w:footnote>
  <w:footnote w:id="78">
    <w:p w14:paraId="25DBCB6C" w14:textId="5784D3D7" w:rsidR="00192820" w:rsidRPr="00123A4F" w:rsidRDefault="00192820" w:rsidP="005A3F14">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 xml:space="preserve">Fra gli esempi più eclatanti di ritardo nella rimessione della questione </w:t>
      </w:r>
      <w:proofErr w:type="gramStart"/>
      <w:r w:rsidR="00FE5759" w:rsidRPr="00123A4F">
        <w:rPr>
          <w:rFonts w:ascii="Times New Roman" w:hAnsi="Times New Roman" w:cs="Times New Roman"/>
        </w:rPr>
        <w:t>si</w:t>
      </w:r>
      <w:proofErr w:type="gramEnd"/>
      <w:r w:rsidR="00FE5759" w:rsidRPr="00123A4F">
        <w:rPr>
          <w:rFonts w:ascii="Times New Roman" w:hAnsi="Times New Roman" w:cs="Times New Roman"/>
        </w:rPr>
        <w:t xml:space="preserve"> v. Corte cost., </w:t>
      </w:r>
      <w:proofErr w:type="spellStart"/>
      <w:r w:rsidR="00FE5759" w:rsidRPr="00123A4F">
        <w:rPr>
          <w:rFonts w:ascii="Times New Roman" w:hAnsi="Times New Roman" w:cs="Times New Roman"/>
        </w:rPr>
        <w:t>ordd</w:t>
      </w:r>
      <w:proofErr w:type="spellEnd"/>
      <w:r w:rsidR="00FE5759" w:rsidRPr="00123A4F">
        <w:rPr>
          <w:rFonts w:ascii="Times New Roman" w:hAnsi="Times New Roman" w:cs="Times New Roman"/>
        </w:rPr>
        <w:t xml:space="preserve">. </w:t>
      </w:r>
      <w:proofErr w:type="spellStart"/>
      <w:r w:rsidR="00FE5759" w:rsidRPr="00123A4F">
        <w:rPr>
          <w:rFonts w:ascii="Times New Roman" w:hAnsi="Times New Roman" w:cs="Times New Roman"/>
        </w:rPr>
        <w:t>nn</w:t>
      </w:r>
      <w:proofErr w:type="spellEnd"/>
      <w:r w:rsidR="00FE5759" w:rsidRPr="00123A4F">
        <w:rPr>
          <w:rFonts w:ascii="Times New Roman" w:hAnsi="Times New Roman" w:cs="Times New Roman"/>
        </w:rPr>
        <w:t>. 26 e 203 del 2020. Nel primo caso la Corte ha esaminato una questione proposta nel 2008 e trasmessa ben undici anni dopo</w:t>
      </w:r>
      <w:r w:rsidR="00C40F05" w:rsidRPr="00123A4F">
        <w:rPr>
          <w:rFonts w:ascii="Times New Roman" w:hAnsi="Times New Roman" w:cs="Times New Roman"/>
        </w:rPr>
        <w:t>;</w:t>
      </w:r>
      <w:r w:rsidR="00FE5759" w:rsidRPr="00123A4F">
        <w:rPr>
          <w:rFonts w:ascii="Times New Roman" w:hAnsi="Times New Roman" w:cs="Times New Roman"/>
        </w:rPr>
        <w:t xml:space="preserve"> nel secondo una questione sollevata nel 2014, ma pervenuta alla Consulta sei anni più tardi. Analoghe manifestazioni di </w:t>
      </w:r>
      <w:r w:rsidR="00E66A4A" w:rsidRPr="00123A4F">
        <w:rPr>
          <w:rFonts w:ascii="Times New Roman" w:hAnsi="Times New Roman" w:cs="Times New Roman"/>
        </w:rPr>
        <w:t xml:space="preserve">notevole </w:t>
      </w:r>
      <w:r w:rsidR="00C40D01" w:rsidRPr="00123A4F">
        <w:rPr>
          <w:rFonts w:ascii="Times New Roman" w:hAnsi="Times New Roman" w:cs="Times New Roman"/>
        </w:rPr>
        <w:t>ritardo</w:t>
      </w:r>
      <w:r w:rsidR="00FE5759" w:rsidRPr="00123A4F">
        <w:rPr>
          <w:rFonts w:ascii="Times New Roman" w:hAnsi="Times New Roman" w:cs="Times New Roman"/>
        </w:rPr>
        <w:t xml:space="preserve"> nell’incardinare i giudizi di legittimità costituzionale si rintracciano in Corte cost., </w:t>
      </w:r>
      <w:proofErr w:type="spellStart"/>
      <w:r w:rsidR="00FE5759" w:rsidRPr="00123A4F">
        <w:rPr>
          <w:rFonts w:ascii="Times New Roman" w:hAnsi="Times New Roman" w:cs="Times New Roman"/>
        </w:rPr>
        <w:t>ordd</w:t>
      </w:r>
      <w:proofErr w:type="spellEnd"/>
      <w:r w:rsidR="00FE5759" w:rsidRPr="00123A4F">
        <w:rPr>
          <w:rFonts w:ascii="Times New Roman" w:hAnsi="Times New Roman" w:cs="Times New Roman"/>
        </w:rPr>
        <w:t xml:space="preserve">. </w:t>
      </w:r>
      <w:proofErr w:type="spellStart"/>
      <w:r w:rsidR="00FE5759" w:rsidRPr="00123A4F">
        <w:rPr>
          <w:rFonts w:ascii="Times New Roman" w:hAnsi="Times New Roman" w:cs="Times New Roman"/>
        </w:rPr>
        <w:t>nn</w:t>
      </w:r>
      <w:proofErr w:type="spellEnd"/>
      <w:r w:rsidR="00FE5759" w:rsidRPr="00123A4F">
        <w:rPr>
          <w:rFonts w:ascii="Times New Roman" w:hAnsi="Times New Roman" w:cs="Times New Roman"/>
        </w:rPr>
        <w:t>. 226 del 2016; n. 27 del 2012 e n. 405 del 2005.</w:t>
      </w:r>
      <w:r w:rsidRPr="00123A4F">
        <w:rPr>
          <w:rFonts w:ascii="Times New Roman" w:hAnsi="Times New Roman" w:cs="Times New Roman"/>
        </w:rPr>
        <w:fldChar w:fldCharType="begin"/>
      </w:r>
      <w:r w:rsidRPr="00123A4F">
        <w:rPr>
          <w:rFonts w:ascii="Times New Roman" w:hAnsi="Times New Roman" w:cs="Times New Roman"/>
        </w:rPr>
        <w:instrText>&lt;/para&gt;&lt;/foot&gt;</w:instrText>
      </w:r>
      <w:r w:rsidRPr="00123A4F">
        <w:rPr>
          <w:rFonts w:ascii="Times New Roman" w:hAnsi="Times New Roman" w:cs="Times New Roman"/>
        </w:rPr>
        <w:fldChar w:fldCharType="end"/>
      </w:r>
    </w:p>
  </w:footnote>
  <w:footnote w:id="79">
    <w:p w14:paraId="5C0DBABF" w14:textId="1AF4650B" w:rsidR="0023473B" w:rsidRPr="00123A4F" w:rsidRDefault="0023473B" w:rsidP="00F81FFA">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smallCaps/>
        </w:rPr>
        <w:t>F. Viganò</w:t>
      </w:r>
      <w:r w:rsidR="00FE5759" w:rsidRPr="00123A4F">
        <w:rPr>
          <w:rFonts w:ascii="Times New Roman" w:hAnsi="Times New Roman" w:cs="Times New Roman"/>
        </w:rPr>
        <w:t>, </w:t>
      </w:r>
      <w:r w:rsidR="00FE5759" w:rsidRPr="00123A4F">
        <w:rPr>
          <w:rFonts w:ascii="Times New Roman" w:hAnsi="Times New Roman" w:cs="Times New Roman"/>
          <w:i/>
          <w:iCs/>
        </w:rPr>
        <w:t>Riflessioni </w:t>
      </w:r>
      <w:r w:rsidR="00FE5759" w:rsidRPr="00123A4F">
        <w:rPr>
          <w:rFonts w:ascii="Times New Roman" w:hAnsi="Times New Roman" w:cs="Times New Roman"/>
        </w:rPr>
        <w:t xml:space="preserve">de lege lata e </w:t>
      </w:r>
      <w:proofErr w:type="spellStart"/>
      <w:r w:rsidR="00FE5759" w:rsidRPr="00123A4F">
        <w:rPr>
          <w:rFonts w:ascii="Times New Roman" w:hAnsi="Times New Roman" w:cs="Times New Roman"/>
        </w:rPr>
        <w:t>ferenda</w:t>
      </w:r>
      <w:proofErr w:type="spellEnd"/>
      <w:r w:rsidR="00FE5759" w:rsidRPr="00123A4F">
        <w:rPr>
          <w:rFonts w:ascii="Times New Roman" w:hAnsi="Times New Roman" w:cs="Times New Roman"/>
          <w:i/>
          <w:iCs/>
        </w:rPr>
        <w:t>. Su prescrizione e ragionevole durata del processo</w:t>
      </w:r>
      <w:r w:rsidR="00FE5759" w:rsidRPr="00123A4F">
        <w:rPr>
          <w:rFonts w:ascii="Times New Roman" w:hAnsi="Times New Roman" w:cs="Times New Roman"/>
        </w:rPr>
        <w:t>, in </w:t>
      </w:r>
      <w:r w:rsidR="00FE5759" w:rsidRPr="00123A4F">
        <w:rPr>
          <w:rFonts w:ascii="Times New Roman" w:hAnsi="Times New Roman" w:cs="Times New Roman"/>
          <w:i/>
          <w:iCs/>
        </w:rPr>
        <w:t xml:space="preserve">Dir. </w:t>
      </w:r>
      <w:proofErr w:type="spellStart"/>
      <w:r w:rsidR="00FE5759" w:rsidRPr="00123A4F">
        <w:rPr>
          <w:rFonts w:ascii="Times New Roman" w:hAnsi="Times New Roman" w:cs="Times New Roman"/>
          <w:i/>
          <w:iCs/>
        </w:rPr>
        <w:t>pen</w:t>
      </w:r>
      <w:proofErr w:type="spellEnd"/>
      <w:r w:rsidR="00FE5759" w:rsidRPr="00123A4F">
        <w:rPr>
          <w:rFonts w:ascii="Times New Roman" w:hAnsi="Times New Roman" w:cs="Times New Roman"/>
          <w:i/>
          <w:iCs/>
        </w:rPr>
        <w:t xml:space="preserve">. </w:t>
      </w:r>
      <w:proofErr w:type="spellStart"/>
      <w:r w:rsidR="00FE5759" w:rsidRPr="00123A4F">
        <w:rPr>
          <w:rFonts w:ascii="Times New Roman" w:hAnsi="Times New Roman" w:cs="Times New Roman"/>
          <w:i/>
          <w:iCs/>
        </w:rPr>
        <w:t>cont</w:t>
      </w:r>
      <w:proofErr w:type="spellEnd"/>
      <w:r w:rsidR="00FE5759" w:rsidRPr="00123A4F">
        <w:rPr>
          <w:rFonts w:ascii="Times New Roman" w:hAnsi="Times New Roman" w:cs="Times New Roman"/>
          <w:i/>
          <w:iCs/>
        </w:rPr>
        <w:t>.,</w:t>
      </w:r>
      <w:r w:rsidR="00FE5759" w:rsidRPr="00123A4F">
        <w:rPr>
          <w:rFonts w:ascii="Times New Roman" w:hAnsi="Times New Roman" w:cs="Times New Roman"/>
        </w:rPr>
        <w:t> 2013, 1, p. 12.</w:t>
      </w:r>
      <w:r w:rsidRPr="00123A4F">
        <w:rPr>
          <w:rFonts w:ascii="Times New Roman" w:hAnsi="Times New Roman" w:cs="Times New Roman"/>
        </w:rPr>
        <w:fldChar w:fldCharType="begin"/>
      </w:r>
      <w:r w:rsidRPr="00123A4F">
        <w:rPr>
          <w:rFonts w:ascii="Times New Roman" w:hAnsi="Times New Roman" w:cs="Times New Roman"/>
        </w:rPr>
        <w:instrText>&lt;/para&gt;&lt;/foot&gt;</w:instrText>
      </w:r>
      <w:r w:rsidRPr="00123A4F">
        <w:rPr>
          <w:rFonts w:ascii="Times New Roman" w:hAnsi="Times New Roman" w:cs="Times New Roman"/>
        </w:rPr>
        <w:fldChar w:fldCharType="end"/>
      </w:r>
    </w:p>
  </w:footnote>
  <w:footnote w:id="80">
    <w:p w14:paraId="7F249E03" w14:textId="77777777" w:rsidR="00246973" w:rsidRPr="00123A4F" w:rsidRDefault="00246973" w:rsidP="00DD5E5C">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Il riferimento, come noto, è a Corte cost., </w:t>
      </w:r>
      <w:proofErr w:type="spellStart"/>
      <w:r w:rsidRPr="00123A4F">
        <w:rPr>
          <w:rFonts w:ascii="Times New Roman" w:hAnsi="Times New Roman" w:cs="Times New Roman"/>
        </w:rPr>
        <w:t>sentt</w:t>
      </w:r>
      <w:proofErr w:type="spellEnd"/>
      <w:r w:rsidRPr="00123A4F">
        <w:rPr>
          <w:rFonts w:ascii="Times New Roman" w:hAnsi="Times New Roman" w:cs="Times New Roman"/>
        </w:rPr>
        <w:t xml:space="preserve">. </w:t>
      </w:r>
      <w:proofErr w:type="spellStart"/>
      <w:r w:rsidRPr="00123A4F">
        <w:rPr>
          <w:rFonts w:ascii="Times New Roman" w:hAnsi="Times New Roman" w:cs="Times New Roman"/>
        </w:rPr>
        <w:t>nn</w:t>
      </w:r>
      <w:proofErr w:type="spellEnd"/>
      <w:r w:rsidRPr="00123A4F">
        <w:rPr>
          <w:rFonts w:ascii="Times New Roman" w:hAnsi="Times New Roman" w:cs="Times New Roman"/>
        </w:rPr>
        <w:t xml:space="preserve">. 1 del 2014 e 35 del 2017. Nella </w:t>
      </w:r>
      <w:proofErr w:type="spellStart"/>
      <w:r w:rsidRPr="00123A4F">
        <w:rPr>
          <w:rFonts w:ascii="Times New Roman" w:hAnsi="Times New Roman" w:cs="Times New Roman"/>
        </w:rPr>
        <w:t>sent</w:t>
      </w:r>
      <w:proofErr w:type="spellEnd"/>
      <w:r w:rsidRPr="00123A4F">
        <w:rPr>
          <w:rFonts w:ascii="Times New Roman" w:hAnsi="Times New Roman" w:cs="Times New Roman"/>
        </w:rPr>
        <w:t xml:space="preserve">. n 1 del 2014, nell’esaminare il profilo dell’ammissibilità della questione proposta, il giudice delle leggi ha affermato che «siffatto controllo […] va limitato all'adeguatezza delle motivazioni in ordine ai presupposti in base ai quali il giudizio </w:t>
      </w:r>
      <w:r w:rsidRPr="00123A4F">
        <w:rPr>
          <w:rFonts w:ascii="Times New Roman" w:hAnsi="Times New Roman" w:cs="Times New Roman"/>
          <w:i/>
          <w:iCs/>
        </w:rPr>
        <w:t>a quo</w:t>
      </w:r>
      <w:r w:rsidRPr="00123A4F">
        <w:rPr>
          <w:rFonts w:ascii="Times New Roman" w:hAnsi="Times New Roman" w:cs="Times New Roman"/>
        </w:rPr>
        <w:t xml:space="preserve"> possa dirsi concretamente ed effettivamente instaurato, con un proprio oggetto, vale a dire un </w:t>
      </w:r>
      <w:proofErr w:type="spellStart"/>
      <w:r w:rsidRPr="00123A4F">
        <w:rPr>
          <w:rFonts w:ascii="Times New Roman" w:hAnsi="Times New Roman" w:cs="Times New Roman"/>
          <w:i/>
          <w:iCs/>
        </w:rPr>
        <w:t>petitum</w:t>
      </w:r>
      <w:proofErr w:type="spellEnd"/>
      <w:r w:rsidRPr="00123A4F">
        <w:rPr>
          <w:rFonts w:ascii="Times New Roman" w:hAnsi="Times New Roman" w:cs="Times New Roman"/>
        </w:rPr>
        <w:t xml:space="preserve">, separato e distinto dalla questione di legittimità costituzionale, sul quale il giudice remittente sia chiamato a decidere» (punto 2 del Considerato in diritto). In dottrina, per ciò che attiene ai profili di ammissibilità e di rilevanza della questione decisa dalla sentenza in discorso, si rinvia, fra i molti, a </w:t>
      </w:r>
      <w:r w:rsidRPr="00123A4F">
        <w:rPr>
          <w:rFonts w:ascii="Times New Roman" w:hAnsi="Times New Roman" w:cs="Times New Roman"/>
          <w:smallCaps/>
        </w:rPr>
        <w:t>F. Dal Canto</w:t>
      </w:r>
      <w:r w:rsidRPr="00123A4F">
        <w:rPr>
          <w:rFonts w:ascii="Times New Roman" w:hAnsi="Times New Roman" w:cs="Times New Roman"/>
        </w:rPr>
        <w:t>, </w:t>
      </w:r>
      <w:r w:rsidRPr="00123A4F">
        <w:rPr>
          <w:rFonts w:ascii="Times New Roman" w:hAnsi="Times New Roman" w:cs="Times New Roman"/>
          <w:i/>
          <w:iCs/>
        </w:rPr>
        <w:t xml:space="preserve">La legge elettorale dinanzi alla Corte costituzionale: verso il superamento di una zona franca? (nota a Corte di Cassazione, I Sez. civile, </w:t>
      </w:r>
      <w:proofErr w:type="spellStart"/>
      <w:r w:rsidRPr="00123A4F">
        <w:rPr>
          <w:rFonts w:ascii="Times New Roman" w:hAnsi="Times New Roman" w:cs="Times New Roman"/>
          <w:i/>
          <w:iCs/>
        </w:rPr>
        <w:t>ord</w:t>
      </w:r>
      <w:proofErr w:type="spellEnd"/>
      <w:r w:rsidRPr="00123A4F">
        <w:rPr>
          <w:rFonts w:ascii="Times New Roman" w:hAnsi="Times New Roman" w:cs="Times New Roman"/>
          <w:i/>
          <w:iCs/>
        </w:rPr>
        <w:t>. n. 12060/2013),</w:t>
      </w:r>
      <w:r w:rsidRPr="00123A4F">
        <w:rPr>
          <w:rFonts w:ascii="Times New Roman" w:hAnsi="Times New Roman" w:cs="Times New Roman"/>
        </w:rPr>
        <w:t xml:space="preserve"> in </w:t>
      </w:r>
      <w:r w:rsidRPr="00123A4F">
        <w:rPr>
          <w:rFonts w:ascii="Times New Roman" w:hAnsi="Times New Roman" w:cs="Times New Roman"/>
          <w:i/>
          <w:iCs/>
        </w:rPr>
        <w:t>Forum di Quaderni Costituzionali</w:t>
      </w:r>
      <w:r w:rsidRPr="00123A4F">
        <w:rPr>
          <w:rFonts w:ascii="Times New Roman" w:hAnsi="Times New Roman" w:cs="Times New Roman"/>
        </w:rPr>
        <w:t xml:space="preserve">, 14 giugno 2013, pp.1-5; </w:t>
      </w:r>
      <w:r w:rsidRPr="00123A4F">
        <w:rPr>
          <w:rFonts w:ascii="Times New Roman" w:hAnsi="Times New Roman" w:cs="Times New Roman"/>
          <w:smallCaps/>
        </w:rPr>
        <w:t>A. D’Andrea</w:t>
      </w:r>
      <w:r w:rsidRPr="00123A4F">
        <w:rPr>
          <w:rFonts w:ascii="Times New Roman" w:hAnsi="Times New Roman" w:cs="Times New Roman"/>
        </w:rPr>
        <w:t>, </w:t>
      </w:r>
      <w:r w:rsidRPr="00123A4F">
        <w:rPr>
          <w:rFonts w:ascii="Times New Roman" w:hAnsi="Times New Roman" w:cs="Times New Roman"/>
          <w:i/>
          <w:iCs/>
        </w:rPr>
        <w:t>La “riforma” elettorale “imposta” dal giudice costituzionale al sistema politico e l'esigenza di “governabilità” dell'ordinamento</w:t>
      </w:r>
      <w:r w:rsidRPr="00123A4F">
        <w:rPr>
          <w:rFonts w:ascii="Times New Roman" w:hAnsi="Times New Roman" w:cs="Times New Roman"/>
        </w:rPr>
        <w:t xml:space="preserve">, in </w:t>
      </w:r>
      <w:r w:rsidRPr="00123A4F">
        <w:rPr>
          <w:rFonts w:ascii="Times New Roman" w:hAnsi="Times New Roman" w:cs="Times New Roman"/>
          <w:i/>
          <w:iCs/>
        </w:rPr>
        <w:t>Giurisprudenza costituzionale</w:t>
      </w:r>
      <w:r w:rsidRPr="00123A4F">
        <w:rPr>
          <w:rFonts w:ascii="Times New Roman" w:hAnsi="Times New Roman" w:cs="Times New Roman"/>
        </w:rPr>
        <w:t xml:space="preserve">, 2014, 1, p. 38 ss.; </w:t>
      </w:r>
      <w:r w:rsidRPr="00123A4F">
        <w:rPr>
          <w:rFonts w:ascii="Times New Roman" w:hAnsi="Times New Roman" w:cs="Times New Roman"/>
          <w:smallCaps/>
        </w:rPr>
        <w:t>F. Gabriele</w:t>
      </w:r>
      <w:r w:rsidRPr="00123A4F">
        <w:rPr>
          <w:rFonts w:ascii="Times New Roman" w:hAnsi="Times New Roman" w:cs="Times New Roman"/>
        </w:rPr>
        <w:t>, </w:t>
      </w:r>
      <w:r w:rsidRPr="00123A4F">
        <w:rPr>
          <w:rFonts w:ascii="Times New Roman" w:hAnsi="Times New Roman" w:cs="Times New Roman"/>
          <w:i/>
          <w:iCs/>
        </w:rPr>
        <w:t>Molto rumore per nulla? La “zona franca” elettorale colpita ma non affondata (anzi...). Riflessioni sulla sentenza della Corte costituzionale n. 1 del 2014</w:t>
      </w:r>
      <w:r w:rsidRPr="00123A4F">
        <w:rPr>
          <w:rFonts w:ascii="Times New Roman" w:hAnsi="Times New Roman" w:cs="Times New Roman"/>
        </w:rPr>
        <w:t>, in </w:t>
      </w:r>
      <w:r w:rsidRPr="00123A4F">
        <w:rPr>
          <w:rFonts w:ascii="Times New Roman" w:hAnsi="Times New Roman" w:cs="Times New Roman"/>
          <w:i/>
          <w:iCs/>
        </w:rPr>
        <w:t>Consulta Online</w:t>
      </w:r>
      <w:r w:rsidRPr="00123A4F">
        <w:rPr>
          <w:rFonts w:ascii="Times New Roman" w:hAnsi="Times New Roman" w:cs="Times New Roman"/>
        </w:rPr>
        <w:t xml:space="preserve">, 2014, 1, p. 1 ss.; </w:t>
      </w:r>
      <w:r w:rsidRPr="00123A4F">
        <w:rPr>
          <w:rFonts w:ascii="Times New Roman" w:hAnsi="Times New Roman" w:cs="Times New Roman"/>
          <w:smallCaps/>
        </w:rPr>
        <w:t>A. Chiusolo</w:t>
      </w:r>
      <w:r w:rsidRPr="00123A4F">
        <w:rPr>
          <w:rFonts w:ascii="Times New Roman" w:hAnsi="Times New Roman" w:cs="Times New Roman"/>
        </w:rPr>
        <w:t>, </w:t>
      </w:r>
      <w:r w:rsidRPr="00123A4F">
        <w:rPr>
          <w:rFonts w:ascii="Times New Roman" w:hAnsi="Times New Roman" w:cs="Times New Roman"/>
          <w:i/>
          <w:iCs/>
        </w:rPr>
        <w:t xml:space="preserve">Una rilettura della recente giurisprudenza costituzionale in materia elettorale: dalla </w:t>
      </w:r>
      <w:proofErr w:type="spellStart"/>
      <w:r w:rsidRPr="00123A4F">
        <w:rPr>
          <w:rFonts w:ascii="Times New Roman" w:hAnsi="Times New Roman" w:cs="Times New Roman"/>
          <w:i/>
          <w:iCs/>
        </w:rPr>
        <w:t>sent</w:t>
      </w:r>
      <w:proofErr w:type="spellEnd"/>
      <w:r w:rsidRPr="00123A4F">
        <w:rPr>
          <w:rFonts w:ascii="Times New Roman" w:hAnsi="Times New Roman" w:cs="Times New Roman"/>
          <w:i/>
          <w:iCs/>
        </w:rPr>
        <w:t xml:space="preserve">. 1/2014 alla </w:t>
      </w:r>
      <w:proofErr w:type="spellStart"/>
      <w:r w:rsidRPr="00123A4F">
        <w:rPr>
          <w:rFonts w:ascii="Times New Roman" w:hAnsi="Times New Roman" w:cs="Times New Roman"/>
          <w:i/>
          <w:iCs/>
        </w:rPr>
        <w:t>sent</w:t>
      </w:r>
      <w:proofErr w:type="spellEnd"/>
      <w:r w:rsidRPr="00123A4F">
        <w:rPr>
          <w:rFonts w:ascii="Times New Roman" w:hAnsi="Times New Roman" w:cs="Times New Roman"/>
          <w:i/>
          <w:iCs/>
        </w:rPr>
        <w:t>. 35/2017</w:t>
      </w:r>
      <w:r w:rsidRPr="00123A4F">
        <w:rPr>
          <w:rFonts w:ascii="Times New Roman" w:hAnsi="Times New Roman" w:cs="Times New Roman"/>
        </w:rPr>
        <w:t>, in </w:t>
      </w:r>
      <w:r w:rsidRPr="00123A4F">
        <w:rPr>
          <w:rFonts w:ascii="Times New Roman" w:hAnsi="Times New Roman" w:cs="Times New Roman"/>
          <w:i/>
          <w:iCs/>
        </w:rPr>
        <w:t>Forum di Quaderni Costituzionali</w:t>
      </w:r>
      <w:r w:rsidRPr="00123A4F">
        <w:rPr>
          <w:rFonts w:ascii="Times New Roman" w:hAnsi="Times New Roman" w:cs="Times New Roman"/>
        </w:rPr>
        <w:t>, 31 ottobre 2017, p. 1 ss.</w:t>
      </w:r>
      <w:r w:rsidRPr="00123A4F">
        <w:rPr>
          <w:rFonts w:ascii="Times New Roman" w:hAnsi="Times New Roman" w:cs="Times New Roman"/>
        </w:rPr>
        <w:fldChar w:fldCharType="begin"/>
      </w:r>
      <w:r w:rsidRPr="00123A4F">
        <w:rPr>
          <w:rFonts w:ascii="Times New Roman" w:hAnsi="Times New Roman" w:cs="Times New Roman"/>
        </w:rPr>
        <w:instrText>&lt;/para&gt;&lt;/foot&gt;</w:instrText>
      </w:r>
      <w:r w:rsidRPr="00123A4F">
        <w:rPr>
          <w:rFonts w:ascii="Times New Roman" w:hAnsi="Times New Roman" w:cs="Times New Roman"/>
        </w:rPr>
        <w:fldChar w:fldCharType="end"/>
      </w:r>
    </w:p>
  </w:footnote>
  <w:footnote w:id="81">
    <w:p w14:paraId="7F9D3267" w14:textId="77822A0E" w:rsidR="000419F4" w:rsidRPr="00123A4F" w:rsidRDefault="000419F4"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Pr="00123A4F">
        <w:rPr>
          <w:rFonts w:ascii="Times New Roman" w:eastAsia="Scotch" w:hAnsi="Times New Roman" w:cs="Times New Roman"/>
        </w:rPr>
        <w:t>Il rimedio in discorso ha trovato applicazione anche nei casi in cui vi fosse necessità di completare la motivazione o altro requisito della sentenza previsto dall’art. 546 c.p.p. </w:t>
      </w:r>
    </w:p>
  </w:footnote>
  <w:footnote w:id="82">
    <w:p w14:paraId="5C10BAAF" w14:textId="3F3AE38D" w:rsidR="00EE6ADE" w:rsidRPr="00123A4F" w:rsidRDefault="00EE6ADE" w:rsidP="00522C26">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Pr="00123A4F">
        <w:rPr>
          <w:rFonts w:ascii="Times New Roman" w:eastAsia="Scotch" w:hAnsi="Times New Roman" w:cs="Times New Roman"/>
        </w:rPr>
        <w:t xml:space="preserve">Come ha precisato la giurisprudenza di legittimità (Cass. </w:t>
      </w:r>
      <w:proofErr w:type="spellStart"/>
      <w:r w:rsidRPr="00123A4F">
        <w:rPr>
          <w:rFonts w:ascii="Times New Roman" w:eastAsia="Scotch" w:hAnsi="Times New Roman" w:cs="Times New Roman"/>
        </w:rPr>
        <w:t>pen</w:t>
      </w:r>
      <w:proofErr w:type="spellEnd"/>
      <w:r w:rsidRPr="00123A4F">
        <w:rPr>
          <w:rFonts w:ascii="Times New Roman" w:eastAsia="Scotch" w:hAnsi="Times New Roman" w:cs="Times New Roman"/>
        </w:rPr>
        <w:t xml:space="preserve">., </w:t>
      </w:r>
      <w:proofErr w:type="spellStart"/>
      <w:r w:rsidRPr="00123A4F">
        <w:rPr>
          <w:rFonts w:ascii="Times New Roman" w:eastAsia="Scotch" w:hAnsi="Times New Roman" w:cs="Times New Roman"/>
        </w:rPr>
        <w:t>ss.uu</w:t>
      </w:r>
      <w:proofErr w:type="spellEnd"/>
      <w:r w:rsidRPr="00123A4F">
        <w:rPr>
          <w:rFonts w:ascii="Times New Roman" w:eastAsia="Scotch" w:hAnsi="Times New Roman" w:cs="Times New Roman"/>
        </w:rPr>
        <w:t xml:space="preserve">. 18 maggio 1994 n. </w:t>
      </w:r>
      <w:r w:rsidR="00FF3EEB" w:rsidRPr="00123A4F">
        <w:rPr>
          <w:rFonts w:ascii="Times New Roman" w:eastAsia="Scotch" w:hAnsi="Times New Roman" w:cs="Times New Roman"/>
        </w:rPr>
        <w:t>8</w:t>
      </w:r>
      <w:r w:rsidRPr="00123A4F">
        <w:rPr>
          <w:rFonts w:ascii="Times New Roman" w:eastAsia="Scotch" w:hAnsi="Times New Roman" w:cs="Times New Roman"/>
        </w:rPr>
        <w:t>.), «sono sempre ammissibili gli interventi correttivi imposti soltanto dalla necessità di armonizzare l’estrinsecazione formale della decisione con il suo reale intangibile contenuto, proprio perché intrinsecamente incapaci di incidere sulla decisione già assunta», sempreché detti interventi non alterino l’organica unità o le componenti essenziali della pronuncia corrigenda.</w:t>
      </w:r>
    </w:p>
  </w:footnote>
  <w:footnote w:id="83">
    <w:p w14:paraId="0004FD2B" w14:textId="00CC1AFB" w:rsidR="003A4954" w:rsidRPr="00123A4F" w:rsidRDefault="003A4954"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Cfr. Corte cost., </w:t>
      </w:r>
      <w:proofErr w:type="spellStart"/>
      <w:r w:rsidRPr="00123A4F">
        <w:rPr>
          <w:rFonts w:ascii="Times New Roman" w:hAnsi="Times New Roman" w:cs="Times New Roman"/>
        </w:rPr>
        <w:t>sent</w:t>
      </w:r>
      <w:proofErr w:type="spellEnd"/>
      <w:r w:rsidRPr="00123A4F">
        <w:rPr>
          <w:rFonts w:ascii="Times New Roman" w:hAnsi="Times New Roman" w:cs="Times New Roman"/>
        </w:rPr>
        <w:t>. n. 15 del 202</w:t>
      </w:r>
      <w:r w:rsidR="00522C26" w:rsidRPr="00123A4F">
        <w:rPr>
          <w:rFonts w:ascii="Times New Roman" w:hAnsi="Times New Roman" w:cs="Times New Roman"/>
        </w:rPr>
        <w:t>4</w:t>
      </w:r>
      <w:r w:rsidRPr="00123A4F">
        <w:rPr>
          <w:rFonts w:ascii="Times New Roman" w:hAnsi="Times New Roman" w:cs="Times New Roman"/>
        </w:rPr>
        <w:t xml:space="preserve">, punti 8, 8.1 e 8.2 del </w:t>
      </w:r>
      <w:r w:rsidRPr="00123A4F">
        <w:rPr>
          <w:rFonts w:ascii="Times New Roman" w:hAnsi="Times New Roman" w:cs="Times New Roman"/>
          <w:i/>
          <w:iCs/>
        </w:rPr>
        <w:t>Considerato in diritto</w:t>
      </w:r>
      <w:r w:rsidRPr="00123A4F">
        <w:rPr>
          <w:rFonts w:ascii="Times New Roman" w:hAnsi="Times New Roman" w:cs="Times New Roman"/>
        </w:rPr>
        <w:t>.</w:t>
      </w:r>
      <w:r w:rsidR="00522C26" w:rsidRPr="00123A4F">
        <w:rPr>
          <w:rFonts w:ascii="Times New Roman" w:hAnsi="Times New Roman" w:cs="Times New Roman"/>
        </w:rPr>
        <w:t xml:space="preserve"> Cfr. </w:t>
      </w:r>
      <w:r w:rsidR="00522C26" w:rsidRPr="00123A4F">
        <w:rPr>
          <w:rFonts w:ascii="Times New Roman" w:hAnsi="Times New Roman" w:cs="Times New Roman"/>
          <w:smallCaps/>
        </w:rPr>
        <w:t>F. Ferraro</w:t>
      </w:r>
      <w:r w:rsidR="00522C26" w:rsidRPr="00123A4F">
        <w:rPr>
          <w:rFonts w:ascii="Times New Roman" w:hAnsi="Times New Roman" w:cs="Times New Roman"/>
        </w:rPr>
        <w:t xml:space="preserve">, </w:t>
      </w:r>
      <w:r w:rsidR="00522C26" w:rsidRPr="00123A4F">
        <w:rPr>
          <w:rFonts w:ascii="Times New Roman" w:hAnsi="Times New Roman" w:cs="Times New Roman"/>
          <w:i/>
          <w:iCs/>
        </w:rPr>
        <w:t>La Corte costituzionale si affida al “tono costituzionale”,</w:t>
      </w:r>
      <w:r w:rsidR="00522C26" w:rsidRPr="00123A4F">
        <w:rPr>
          <w:rFonts w:ascii="Times New Roman" w:hAnsi="Times New Roman" w:cs="Times New Roman"/>
        </w:rPr>
        <w:t xml:space="preserve"> op. cit., p. 164, secondo cui «</w:t>
      </w:r>
      <w:r w:rsidR="00522C26" w:rsidRPr="00123A4F">
        <w:rPr>
          <w:rFonts w:ascii="Times New Roman" w:hAnsi="Times New Roman" w:cs="Times New Roman"/>
          <w:i/>
          <w:iCs/>
        </w:rPr>
        <w:t>se è vero che questa sentenza si è riferita soltanto ai giudizi antidiscriminatori, non vi è dubbio che essa, garantendo la tutela piena dei soggetti coinvolti attraverso l’immediata disapplicazione della legge incompatibile, ha valorizzato il ruolo del giudice nazionale e, al tempo stesso, ha contribuito a rafforzare il controllo centralizzato della Corte costituzionale, lasciando in qualche modo presagire ulteriori sviluppi»</w:t>
      </w:r>
      <w:r w:rsidR="00522C26" w:rsidRPr="00123A4F">
        <w:rPr>
          <w:rFonts w:ascii="Times New Roman" w:hAnsi="Times New Roman" w:cs="Times New Roman"/>
        </w:rPr>
        <w:t>.</w:t>
      </w:r>
    </w:p>
  </w:footnote>
  <w:footnote w:id="84">
    <w:p w14:paraId="1D715215" w14:textId="767FC206" w:rsidR="003F62E2" w:rsidRPr="00123A4F" w:rsidRDefault="003F62E2" w:rsidP="000E39B0">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F3EEB" w:rsidRPr="00123A4F">
        <w:rPr>
          <w:rFonts w:ascii="Times New Roman" w:eastAsia="Times New Roman" w:hAnsi="Times New Roman" w:cs="Times New Roman"/>
          <w:kern w:val="0"/>
          <w:lang w:eastAsia="it-IT"/>
          <w14:ligatures w14:val="none"/>
        </w:rPr>
        <w:t>Lo evidenzia nitidamente l’</w:t>
      </w:r>
      <w:r w:rsidRPr="00123A4F">
        <w:rPr>
          <w:rFonts w:ascii="Times New Roman" w:eastAsia="Times New Roman" w:hAnsi="Times New Roman" w:cs="Times New Roman"/>
          <w:kern w:val="0"/>
          <w:lang w:eastAsia="it-IT"/>
          <w14:ligatures w14:val="none"/>
        </w:rPr>
        <w:t>art. 28, d. lgs. n. 150 del 2011.</w:t>
      </w:r>
    </w:p>
  </w:footnote>
  <w:footnote w:id="85">
    <w:p w14:paraId="29280C39" w14:textId="039682B7" w:rsidR="00FF3EEB" w:rsidRPr="00123A4F" w:rsidRDefault="00FF3EEB" w:rsidP="00FF3EEB">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Il riferimento è, almeno, a CGUE, sentenze 9 settembre 2010, C-409/06, </w:t>
      </w:r>
      <w:r w:rsidRPr="00123A4F">
        <w:rPr>
          <w:rFonts w:ascii="Times New Roman" w:hAnsi="Times New Roman" w:cs="Times New Roman"/>
          <w:i/>
          <w:iCs/>
        </w:rPr>
        <w:t>Wi</w:t>
      </w:r>
      <w:r w:rsidR="000E39B0" w:rsidRPr="00123A4F">
        <w:rPr>
          <w:rFonts w:ascii="Times New Roman" w:hAnsi="Times New Roman" w:cs="Times New Roman"/>
          <w:i/>
          <w:iCs/>
        </w:rPr>
        <w:t>e</w:t>
      </w:r>
      <w:r w:rsidRPr="00123A4F">
        <w:rPr>
          <w:rFonts w:ascii="Times New Roman" w:hAnsi="Times New Roman" w:cs="Times New Roman"/>
          <w:i/>
          <w:iCs/>
        </w:rPr>
        <w:t xml:space="preserve">ner </w:t>
      </w:r>
      <w:proofErr w:type="spellStart"/>
      <w:r w:rsidRPr="00123A4F">
        <w:rPr>
          <w:rFonts w:ascii="Times New Roman" w:hAnsi="Times New Roman" w:cs="Times New Roman"/>
          <w:i/>
          <w:iCs/>
        </w:rPr>
        <w:t>Wetten</w:t>
      </w:r>
      <w:proofErr w:type="spellEnd"/>
      <w:r w:rsidRPr="00123A4F">
        <w:rPr>
          <w:rFonts w:ascii="Times New Roman" w:hAnsi="Times New Roman" w:cs="Times New Roman"/>
        </w:rPr>
        <w:t xml:space="preserve">, punti 56-57 e sentenza 22 febbraio 2022, C-430/21, </w:t>
      </w:r>
      <w:r w:rsidRPr="00123A4F">
        <w:rPr>
          <w:rFonts w:ascii="Times New Roman" w:hAnsi="Times New Roman" w:cs="Times New Roman"/>
          <w:i/>
          <w:iCs/>
        </w:rPr>
        <w:t>RS</w:t>
      </w:r>
      <w:r w:rsidRPr="00123A4F">
        <w:rPr>
          <w:rFonts w:ascii="Times New Roman" w:hAnsi="Times New Roman" w:cs="Times New Roman"/>
        </w:rPr>
        <w:t>, punto 53.</w:t>
      </w:r>
    </w:p>
  </w:footnote>
  <w:footnote w:id="86">
    <w:p w14:paraId="2B657EAC" w14:textId="293A30F2" w:rsidR="00475CE6" w:rsidRPr="00123A4F" w:rsidRDefault="00475CE6" w:rsidP="00475CE6">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Nella sentenza n. 1 del 2014 la Corte giustifica l’interpretazione elastica dell</w:t>
      </w:r>
      <w:r w:rsidR="00FB18ED" w:rsidRPr="00123A4F">
        <w:rPr>
          <w:rFonts w:ascii="Times New Roman" w:hAnsi="Times New Roman" w:cs="Times New Roman"/>
        </w:rPr>
        <w:t xml:space="preserve">a pregiudizialità </w:t>
      </w:r>
      <w:r w:rsidRPr="00123A4F">
        <w:rPr>
          <w:rFonts w:ascii="Times New Roman" w:hAnsi="Times New Roman" w:cs="Times New Roman"/>
        </w:rPr>
        <w:t>in quanto finalizzata allo scopo precipuo di «scongiurare “la esclusione di ogni garanzia e di ogni controllo” su taluni atti legislativi» e di garantire il “principio di costituzionalità” (punto 2 del Considerato in diritto).  In dottrina, prima del cambio di prospettiva successivo alla sentenza n. 1 del 2014, G. Z</w:t>
      </w:r>
      <w:r w:rsidRPr="00123A4F">
        <w:rPr>
          <w:rFonts w:ascii="Times New Roman" w:hAnsi="Times New Roman" w:cs="Times New Roman"/>
          <w:smallCaps/>
        </w:rPr>
        <w:t>agrebelsky</w:t>
      </w:r>
      <w:r w:rsidRPr="00123A4F">
        <w:rPr>
          <w:rFonts w:ascii="Times New Roman" w:hAnsi="Times New Roman" w:cs="Times New Roman"/>
        </w:rPr>
        <w:t xml:space="preserve"> </w:t>
      </w:r>
      <w:r w:rsidR="00E6559A" w:rsidRPr="00123A4F">
        <w:rPr>
          <w:rFonts w:ascii="Times New Roman" w:hAnsi="Times New Roman" w:cs="Times New Roman"/>
        </w:rPr>
        <w:t>-</w:t>
      </w:r>
      <w:r w:rsidRPr="00123A4F">
        <w:rPr>
          <w:rFonts w:ascii="Times New Roman" w:hAnsi="Times New Roman" w:cs="Times New Roman"/>
        </w:rPr>
        <w:t xml:space="preserve"> V</w:t>
      </w:r>
      <w:r w:rsidRPr="00123A4F">
        <w:rPr>
          <w:rFonts w:ascii="Times New Roman" w:hAnsi="Times New Roman" w:cs="Times New Roman"/>
          <w:smallCaps/>
        </w:rPr>
        <w:t xml:space="preserve">. </w:t>
      </w:r>
      <w:proofErr w:type="spellStart"/>
      <w:r w:rsidRPr="00123A4F">
        <w:rPr>
          <w:rFonts w:ascii="Times New Roman" w:hAnsi="Times New Roman" w:cs="Times New Roman"/>
          <w:smallCaps/>
        </w:rPr>
        <w:t>Marcenò</w:t>
      </w:r>
      <w:proofErr w:type="spellEnd"/>
      <w:r w:rsidRPr="00123A4F">
        <w:rPr>
          <w:rFonts w:ascii="Times New Roman" w:hAnsi="Times New Roman" w:cs="Times New Roman"/>
        </w:rPr>
        <w:t>, </w:t>
      </w:r>
      <w:r w:rsidRPr="00123A4F">
        <w:rPr>
          <w:rFonts w:ascii="Times New Roman" w:hAnsi="Times New Roman" w:cs="Times New Roman"/>
          <w:i/>
          <w:iCs/>
        </w:rPr>
        <w:t>Giustizia costituzionale</w:t>
      </w:r>
      <w:r w:rsidRPr="00123A4F">
        <w:rPr>
          <w:rFonts w:ascii="Times New Roman" w:hAnsi="Times New Roman" w:cs="Times New Roman"/>
        </w:rPr>
        <w:t>, Bologna 2012, p. 305, definivano le leggi elettorali come «leggi irreversibili per ragioni di fatto».</w:t>
      </w:r>
      <w:r w:rsidRPr="00123A4F">
        <w:rPr>
          <w:rFonts w:ascii="Times New Roman" w:hAnsi="Times New Roman" w:cs="Times New Roman"/>
        </w:rPr>
        <w:fldChar w:fldCharType="begin"/>
      </w:r>
      <w:r w:rsidRPr="00123A4F">
        <w:rPr>
          <w:rFonts w:ascii="Times New Roman" w:hAnsi="Times New Roman" w:cs="Times New Roman"/>
        </w:rPr>
        <w:instrText>&lt;/para&gt;&lt;/foot&gt;</w:instrText>
      </w:r>
      <w:r w:rsidRPr="00123A4F">
        <w:rPr>
          <w:rFonts w:ascii="Times New Roman" w:hAnsi="Times New Roman" w:cs="Times New Roman"/>
        </w:rPr>
        <w:fldChar w:fldCharType="end"/>
      </w:r>
    </w:p>
  </w:footnote>
  <w:footnote w:id="87">
    <w:p w14:paraId="59FCA8C9" w14:textId="7B6F367E" w:rsidR="00C60255" w:rsidRPr="00123A4F" w:rsidRDefault="00C60255"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454487" w:rsidRPr="00123A4F">
        <w:rPr>
          <w:rFonts w:ascii="Times New Roman" w:hAnsi="Times New Roman" w:cs="Times New Roman"/>
        </w:rPr>
        <w:t xml:space="preserve">Così </w:t>
      </w:r>
      <w:r w:rsidR="00FE5759" w:rsidRPr="00123A4F">
        <w:rPr>
          <w:rFonts w:ascii="Times New Roman" w:hAnsi="Times New Roman" w:cs="Times New Roman"/>
          <w:smallCaps/>
        </w:rPr>
        <w:t>C. Amalfitano</w:t>
      </w:r>
      <w:r w:rsidR="00FE5759" w:rsidRPr="00123A4F">
        <w:rPr>
          <w:rFonts w:ascii="Times New Roman" w:hAnsi="Times New Roman" w:cs="Times New Roman"/>
        </w:rPr>
        <w:t xml:space="preserve">, </w:t>
      </w:r>
      <w:r w:rsidR="00FE5759" w:rsidRPr="00123A4F">
        <w:rPr>
          <w:rFonts w:ascii="Times New Roman" w:hAnsi="Times New Roman" w:cs="Times New Roman"/>
          <w:i/>
          <w:iCs/>
        </w:rPr>
        <w:t xml:space="preserve">Il dialogo tra giudice comune, </w:t>
      </w:r>
      <w:r w:rsidR="00FF3EEB" w:rsidRPr="00123A4F">
        <w:rPr>
          <w:rFonts w:ascii="Times New Roman" w:hAnsi="Times New Roman" w:cs="Times New Roman"/>
        </w:rPr>
        <w:t>op. cit.</w:t>
      </w:r>
      <w:r w:rsidR="00FE5759" w:rsidRPr="00123A4F">
        <w:rPr>
          <w:rFonts w:ascii="Times New Roman" w:hAnsi="Times New Roman" w:cs="Times New Roman"/>
        </w:rPr>
        <w:t>, p. 5</w:t>
      </w:r>
      <w:r w:rsidR="00454487" w:rsidRPr="00123A4F">
        <w:rPr>
          <w:rFonts w:ascii="Times New Roman" w:hAnsi="Times New Roman" w:cs="Times New Roman"/>
        </w:rPr>
        <w:t xml:space="preserve">; e </w:t>
      </w:r>
      <w:r w:rsidR="00454487" w:rsidRPr="00123A4F">
        <w:rPr>
          <w:rFonts w:ascii="Times New Roman" w:hAnsi="Times New Roman" w:cs="Times New Roman"/>
          <w:smallCaps/>
        </w:rPr>
        <w:t>R. Mastroianni</w:t>
      </w:r>
      <w:r w:rsidR="00454487" w:rsidRPr="00123A4F">
        <w:rPr>
          <w:rFonts w:ascii="Times New Roman" w:hAnsi="Times New Roman" w:cs="Times New Roman"/>
        </w:rPr>
        <w:t xml:space="preserve">, </w:t>
      </w:r>
      <w:r w:rsidR="00454487" w:rsidRPr="00123A4F">
        <w:rPr>
          <w:rFonts w:ascii="Times New Roman" w:hAnsi="Times New Roman" w:cs="Times New Roman"/>
          <w:i/>
          <w:iCs/>
        </w:rPr>
        <w:t>La sentenza della Corte costituzionale n. 181 del 2024</w:t>
      </w:r>
      <w:r w:rsidR="00454487" w:rsidRPr="00123A4F">
        <w:rPr>
          <w:rFonts w:ascii="Times New Roman" w:hAnsi="Times New Roman" w:cs="Times New Roman"/>
        </w:rPr>
        <w:t xml:space="preserve">, op. cit. p. 25, il quale rileva che il protocollo inaugurato dalla sentenza n. 181 del 2024 «mette ai margini il ruolo del giudice comune, primo baluardo del funzionamento di un sistema che si regge sulla </w:t>
      </w:r>
      <w:r w:rsidR="00454487" w:rsidRPr="00123A4F">
        <w:rPr>
          <w:rFonts w:ascii="Times New Roman" w:hAnsi="Times New Roman" w:cs="Times New Roman"/>
          <w:i/>
          <w:iCs/>
        </w:rPr>
        <w:t>piena</w:t>
      </w:r>
      <w:r w:rsidR="00454487" w:rsidRPr="00123A4F">
        <w:rPr>
          <w:rFonts w:ascii="Times New Roman" w:hAnsi="Times New Roman" w:cs="Times New Roman"/>
        </w:rPr>
        <w:t xml:space="preserve"> </w:t>
      </w:r>
      <w:r w:rsidR="00454487" w:rsidRPr="00123A4F">
        <w:rPr>
          <w:rFonts w:ascii="Times New Roman" w:hAnsi="Times New Roman" w:cs="Times New Roman"/>
          <w:i/>
          <w:iCs/>
        </w:rPr>
        <w:t>e contestuale</w:t>
      </w:r>
      <w:r w:rsidR="00454487" w:rsidRPr="00123A4F">
        <w:rPr>
          <w:rFonts w:ascii="Times New Roman" w:hAnsi="Times New Roman" w:cs="Times New Roman"/>
        </w:rPr>
        <w:t xml:space="preserve"> applicazione delle norme europee in tutti gli Stati membri».</w:t>
      </w:r>
    </w:p>
  </w:footnote>
  <w:footnote w:id="88">
    <w:p w14:paraId="76E0E4D8" w14:textId="244C6735" w:rsidR="00C60255" w:rsidRPr="00123A4F" w:rsidRDefault="00C60255" w:rsidP="00FE5759">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 xml:space="preserve">Così </w:t>
      </w:r>
      <w:r w:rsidR="00FE5759" w:rsidRPr="00123A4F">
        <w:rPr>
          <w:rFonts w:ascii="Times New Roman" w:hAnsi="Times New Roman" w:cs="Times New Roman"/>
          <w:smallCaps/>
        </w:rPr>
        <w:t>R. Mastroianni</w:t>
      </w:r>
      <w:r w:rsidR="00FE5759" w:rsidRPr="00123A4F">
        <w:rPr>
          <w:rFonts w:ascii="Times New Roman" w:hAnsi="Times New Roman" w:cs="Times New Roman"/>
        </w:rPr>
        <w:t xml:space="preserve">, </w:t>
      </w:r>
      <w:r w:rsidR="00FE5759" w:rsidRPr="00123A4F">
        <w:rPr>
          <w:rFonts w:ascii="Times New Roman" w:hAnsi="Times New Roman" w:cs="Times New Roman"/>
          <w:i/>
          <w:iCs/>
        </w:rPr>
        <w:t xml:space="preserve">op. </w:t>
      </w:r>
      <w:proofErr w:type="spellStart"/>
      <w:r w:rsidR="00454487" w:rsidRPr="00123A4F">
        <w:rPr>
          <w:rFonts w:ascii="Times New Roman" w:hAnsi="Times New Roman" w:cs="Times New Roman"/>
          <w:i/>
          <w:iCs/>
        </w:rPr>
        <w:t>ult</w:t>
      </w:r>
      <w:proofErr w:type="spellEnd"/>
      <w:r w:rsidR="00454487" w:rsidRPr="00123A4F">
        <w:rPr>
          <w:rFonts w:ascii="Times New Roman" w:hAnsi="Times New Roman" w:cs="Times New Roman"/>
          <w:i/>
          <w:iCs/>
        </w:rPr>
        <w:t xml:space="preserve">. </w:t>
      </w:r>
      <w:r w:rsidR="00FE5759" w:rsidRPr="00123A4F">
        <w:rPr>
          <w:rFonts w:ascii="Times New Roman" w:hAnsi="Times New Roman" w:cs="Times New Roman"/>
          <w:i/>
          <w:iCs/>
        </w:rPr>
        <w:t>cit.</w:t>
      </w:r>
      <w:r w:rsidR="00FE5759" w:rsidRPr="00123A4F">
        <w:rPr>
          <w:rFonts w:ascii="Times New Roman" w:hAnsi="Times New Roman" w:cs="Times New Roman"/>
        </w:rPr>
        <w:t>, p. 25.</w:t>
      </w:r>
    </w:p>
  </w:footnote>
  <w:footnote w:id="89">
    <w:p w14:paraId="3780E777" w14:textId="509B3F88" w:rsidR="00705934" w:rsidRPr="00123A4F" w:rsidRDefault="00705934" w:rsidP="00FE5759">
      <w:pPr>
        <w:spacing w:after="0" w:line="240" w:lineRule="auto"/>
        <w:jc w:val="both"/>
        <w:rPr>
          <w:rFonts w:ascii="Times New Roman" w:hAnsi="Times New Roman" w:cs="Times New Roman"/>
          <w:b/>
          <w:bCs/>
          <w:sz w:val="20"/>
          <w:szCs w:val="20"/>
        </w:rPr>
      </w:pPr>
      <w:r w:rsidRPr="00123A4F">
        <w:rPr>
          <w:rStyle w:val="Rimandonotaapidipagina"/>
          <w:rFonts w:ascii="Times New Roman" w:hAnsi="Times New Roman" w:cs="Times New Roman"/>
          <w:sz w:val="20"/>
          <w:szCs w:val="20"/>
        </w:rPr>
        <w:footnoteRef/>
      </w:r>
      <w:r w:rsidRPr="00123A4F">
        <w:rPr>
          <w:rFonts w:ascii="Times New Roman" w:hAnsi="Times New Roman" w:cs="Times New Roman"/>
          <w:sz w:val="20"/>
          <w:szCs w:val="20"/>
        </w:rPr>
        <w:t xml:space="preserve"> </w:t>
      </w:r>
      <w:r w:rsidR="00FE5759" w:rsidRPr="00123A4F">
        <w:rPr>
          <w:rFonts w:ascii="Times New Roman" w:hAnsi="Times New Roman" w:cs="Times New Roman"/>
          <w:sz w:val="20"/>
          <w:szCs w:val="20"/>
        </w:rPr>
        <w:t>CGUE (Grande Sezione), sentenza 22 giugno 2010, cause riunite C-188/10 e C-189/10, </w:t>
      </w:r>
      <w:r w:rsidR="00FE5759" w:rsidRPr="00123A4F">
        <w:rPr>
          <w:rFonts w:ascii="Times New Roman" w:hAnsi="Times New Roman" w:cs="Times New Roman"/>
          <w:i/>
          <w:iCs/>
          <w:sz w:val="20"/>
          <w:szCs w:val="20"/>
        </w:rPr>
        <w:t xml:space="preserve">Aziz Melki e </w:t>
      </w:r>
      <w:proofErr w:type="spellStart"/>
      <w:r w:rsidR="00FE5759" w:rsidRPr="00123A4F">
        <w:rPr>
          <w:rFonts w:ascii="Times New Roman" w:hAnsi="Times New Roman" w:cs="Times New Roman"/>
          <w:i/>
          <w:iCs/>
          <w:sz w:val="20"/>
          <w:szCs w:val="20"/>
        </w:rPr>
        <w:t>Sélim</w:t>
      </w:r>
      <w:proofErr w:type="spellEnd"/>
      <w:r w:rsidR="00FE5759" w:rsidRPr="00123A4F">
        <w:rPr>
          <w:rFonts w:ascii="Times New Roman" w:hAnsi="Times New Roman" w:cs="Times New Roman"/>
          <w:i/>
          <w:iCs/>
          <w:sz w:val="20"/>
          <w:szCs w:val="20"/>
        </w:rPr>
        <w:t xml:space="preserve"> Abdeli</w:t>
      </w:r>
      <w:r w:rsidR="00FE5759" w:rsidRPr="00123A4F">
        <w:rPr>
          <w:rFonts w:ascii="Times New Roman" w:hAnsi="Times New Roman" w:cs="Times New Roman"/>
          <w:sz w:val="20"/>
          <w:szCs w:val="20"/>
        </w:rPr>
        <w:t>, punto 57, confermata da CGUE, 11 settembre 2014, C-112/13, </w:t>
      </w:r>
      <w:r w:rsidR="00FE5759" w:rsidRPr="00123A4F">
        <w:rPr>
          <w:rFonts w:ascii="Times New Roman" w:hAnsi="Times New Roman" w:cs="Times New Roman"/>
          <w:i/>
          <w:iCs/>
          <w:sz w:val="20"/>
          <w:szCs w:val="20"/>
        </w:rPr>
        <w:t>A c. B</w:t>
      </w:r>
      <w:r w:rsidR="00FE5759" w:rsidRPr="00123A4F">
        <w:rPr>
          <w:rFonts w:ascii="Times New Roman" w:hAnsi="Times New Roman" w:cs="Times New Roman"/>
          <w:sz w:val="20"/>
          <w:szCs w:val="20"/>
        </w:rPr>
        <w:t>, punti 37-40.</w:t>
      </w:r>
    </w:p>
  </w:footnote>
  <w:footnote w:id="90">
    <w:p w14:paraId="7516E306" w14:textId="2137822E" w:rsidR="00BB759F" w:rsidRPr="00123A4F" w:rsidRDefault="00BB759F">
      <w:pPr>
        <w:pStyle w:val="Testonotaapidipagina"/>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L’espressione è stata coniata da</w:t>
      </w:r>
      <w:r w:rsidR="00FE5759" w:rsidRPr="00123A4F">
        <w:rPr>
          <w:rFonts w:ascii="Times New Roman" w:hAnsi="Times New Roman" w:cs="Times New Roman"/>
          <w:smallCaps/>
        </w:rPr>
        <w:t xml:space="preserve"> R. Mastroianni</w:t>
      </w:r>
      <w:r w:rsidR="00FE5759" w:rsidRPr="00123A4F">
        <w:rPr>
          <w:rFonts w:ascii="Times New Roman" w:hAnsi="Times New Roman" w:cs="Times New Roman"/>
        </w:rPr>
        <w:t>, </w:t>
      </w:r>
      <w:r w:rsidR="00FE5759" w:rsidRPr="00123A4F">
        <w:rPr>
          <w:rFonts w:ascii="Times New Roman" w:hAnsi="Times New Roman" w:cs="Times New Roman"/>
          <w:i/>
          <w:iCs/>
        </w:rPr>
        <w:t xml:space="preserve">La Corte di giustizia ed il controllo di costituzionalità: Simmenthal </w:t>
      </w:r>
      <w:proofErr w:type="spellStart"/>
      <w:proofErr w:type="gramStart"/>
      <w:r w:rsidR="00FE5759" w:rsidRPr="00123A4F">
        <w:rPr>
          <w:rFonts w:ascii="Times New Roman" w:hAnsi="Times New Roman" w:cs="Times New Roman"/>
          <w:i/>
          <w:iCs/>
        </w:rPr>
        <w:t>revisited</w:t>
      </w:r>
      <w:proofErr w:type="spellEnd"/>
      <w:r w:rsidR="00FE5759" w:rsidRPr="00123A4F">
        <w:rPr>
          <w:rFonts w:ascii="Times New Roman" w:hAnsi="Times New Roman" w:cs="Times New Roman"/>
          <w:i/>
          <w:iCs/>
        </w:rPr>
        <w:t>?</w:t>
      </w:r>
      <w:r w:rsidR="00FE5759" w:rsidRPr="00123A4F">
        <w:rPr>
          <w:rFonts w:ascii="Times New Roman" w:hAnsi="Times New Roman" w:cs="Times New Roman"/>
        </w:rPr>
        <w:t>,</w:t>
      </w:r>
      <w:proofErr w:type="gramEnd"/>
      <w:r w:rsidR="00FE5759" w:rsidRPr="00123A4F">
        <w:rPr>
          <w:rFonts w:ascii="Times New Roman" w:hAnsi="Times New Roman" w:cs="Times New Roman"/>
        </w:rPr>
        <w:t xml:space="preserve"> in </w:t>
      </w:r>
      <w:r w:rsidR="00FE5759" w:rsidRPr="00123A4F">
        <w:rPr>
          <w:rFonts w:ascii="Times New Roman" w:hAnsi="Times New Roman" w:cs="Times New Roman"/>
          <w:i/>
          <w:iCs/>
        </w:rPr>
        <w:t>Giurisprudenza costituzionale</w:t>
      </w:r>
      <w:r w:rsidR="00FE5759" w:rsidRPr="00123A4F">
        <w:rPr>
          <w:rFonts w:ascii="Times New Roman" w:hAnsi="Times New Roman" w:cs="Times New Roman"/>
        </w:rPr>
        <w:t>, 2014, 5, p. 4090.</w:t>
      </w:r>
    </w:p>
  </w:footnote>
  <w:footnote w:id="91">
    <w:p w14:paraId="656BB41F" w14:textId="77777777" w:rsidR="00705934" w:rsidRPr="00123A4F" w:rsidRDefault="00705934" w:rsidP="00FE5759">
      <w:pPr>
        <w:pStyle w:val="Testonotaapidipagina"/>
        <w:spacing w:line="200" w:lineRule="atLeast"/>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Così </w:t>
      </w:r>
      <w:r w:rsidRPr="00123A4F">
        <w:rPr>
          <w:rFonts w:ascii="Times New Roman" w:hAnsi="Times New Roman" w:cs="Times New Roman"/>
          <w:smallCaps/>
        </w:rPr>
        <w:t>R. Mastroianni</w:t>
      </w:r>
      <w:r w:rsidRPr="00123A4F">
        <w:rPr>
          <w:rFonts w:ascii="Times New Roman" w:hAnsi="Times New Roman" w:cs="Times New Roman"/>
        </w:rPr>
        <w:t xml:space="preserve">, </w:t>
      </w:r>
      <w:r w:rsidRPr="00123A4F">
        <w:rPr>
          <w:rFonts w:ascii="Times New Roman" w:hAnsi="Times New Roman" w:cs="Times New Roman"/>
          <w:i/>
          <w:iCs/>
        </w:rPr>
        <w:t xml:space="preserve">La Corte di giustizia ed il controllo di costituzionalità: Simmenthal </w:t>
      </w:r>
      <w:proofErr w:type="spellStart"/>
      <w:proofErr w:type="gramStart"/>
      <w:r w:rsidRPr="00123A4F">
        <w:rPr>
          <w:rFonts w:ascii="Times New Roman" w:hAnsi="Times New Roman" w:cs="Times New Roman"/>
          <w:i/>
          <w:iCs/>
        </w:rPr>
        <w:t>revisited</w:t>
      </w:r>
      <w:proofErr w:type="spellEnd"/>
      <w:r w:rsidRPr="00123A4F">
        <w:rPr>
          <w:rFonts w:ascii="Times New Roman" w:hAnsi="Times New Roman" w:cs="Times New Roman"/>
          <w:i/>
          <w:iCs/>
        </w:rPr>
        <w:t>?</w:t>
      </w:r>
      <w:r w:rsidRPr="00123A4F">
        <w:rPr>
          <w:rFonts w:ascii="Times New Roman" w:hAnsi="Times New Roman" w:cs="Times New Roman"/>
        </w:rPr>
        <w:t>,</w:t>
      </w:r>
      <w:proofErr w:type="gramEnd"/>
      <w:r w:rsidRPr="00123A4F">
        <w:rPr>
          <w:rFonts w:ascii="Times New Roman" w:hAnsi="Times New Roman" w:cs="Times New Roman"/>
        </w:rPr>
        <w:t xml:space="preserve"> in </w:t>
      </w:r>
      <w:r w:rsidRPr="00123A4F">
        <w:rPr>
          <w:rFonts w:ascii="Times New Roman" w:hAnsi="Times New Roman" w:cs="Times New Roman"/>
          <w:i/>
          <w:iCs/>
        </w:rPr>
        <w:t>Giurisprudenza costituzionale</w:t>
      </w:r>
      <w:r w:rsidRPr="00123A4F">
        <w:rPr>
          <w:rFonts w:ascii="Times New Roman" w:hAnsi="Times New Roman" w:cs="Times New Roman"/>
        </w:rPr>
        <w:t xml:space="preserve">, 2014, 5, p. 4090. </w:t>
      </w:r>
    </w:p>
  </w:footnote>
  <w:footnote w:id="92">
    <w:p w14:paraId="45EA0F7B" w14:textId="4F6BE53F" w:rsidR="00FF3EEB" w:rsidRPr="00123A4F" w:rsidRDefault="00C86FB5" w:rsidP="00FF3EEB">
      <w:pPr>
        <w:pStyle w:val="Testonotaapidipagina"/>
        <w:jc w:val="both"/>
        <w:rPr>
          <w:rFonts w:ascii="Times New Roman" w:hAnsi="Times New Roman" w:cs="Times New Roman"/>
          <w:lang w:eastAsia="it-IT"/>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FE5759" w:rsidRPr="00123A4F">
        <w:rPr>
          <w:rFonts w:ascii="Times New Roman" w:hAnsi="Times New Roman" w:cs="Times New Roman"/>
        </w:rPr>
        <w:t xml:space="preserve">In questo senso ancora </w:t>
      </w:r>
      <w:r w:rsidR="00FE5759" w:rsidRPr="00123A4F">
        <w:rPr>
          <w:rFonts w:ascii="Times New Roman" w:hAnsi="Times New Roman" w:cs="Times New Roman"/>
          <w:lang w:eastAsia="it-IT"/>
        </w:rPr>
        <w:t xml:space="preserve">CGUE, sentenza </w:t>
      </w:r>
      <w:proofErr w:type="spellStart"/>
      <w:r w:rsidR="00FE5759" w:rsidRPr="00123A4F">
        <w:rPr>
          <w:rFonts w:ascii="Times New Roman" w:hAnsi="Times New Roman" w:cs="Times New Roman"/>
          <w:i/>
          <w:iCs/>
          <w:lang w:eastAsia="it-IT"/>
        </w:rPr>
        <w:t>Kernkraftwerke</w:t>
      </w:r>
      <w:proofErr w:type="spellEnd"/>
      <w:r w:rsidR="00FE5759" w:rsidRPr="00123A4F">
        <w:rPr>
          <w:rFonts w:ascii="Times New Roman" w:hAnsi="Times New Roman" w:cs="Times New Roman"/>
          <w:i/>
          <w:iCs/>
          <w:lang w:eastAsia="it-IT"/>
        </w:rPr>
        <w:t xml:space="preserve"> Lippe-Ems</w:t>
      </w:r>
      <w:r w:rsidR="00FE5759" w:rsidRPr="00123A4F">
        <w:rPr>
          <w:rFonts w:ascii="Times New Roman" w:hAnsi="Times New Roman" w:cs="Times New Roman"/>
          <w:lang w:eastAsia="it-IT"/>
        </w:rPr>
        <w:t>, cit. punto 36</w:t>
      </w:r>
      <w:r w:rsidR="00FF3EEB" w:rsidRPr="00123A4F">
        <w:rPr>
          <w:rFonts w:ascii="Times New Roman" w:hAnsi="Times New Roman" w:cs="Times New Roman"/>
          <w:lang w:eastAsia="it-IT"/>
        </w:rPr>
        <w:t xml:space="preserve"> in cui i giudici lussemburghesi hanno avuto modo di precisare che </w:t>
      </w:r>
      <w:r w:rsidR="00FF3EEB" w:rsidRPr="00123A4F">
        <w:rPr>
          <w:rFonts w:ascii="Times New Roman" w:hAnsi="Times New Roman" w:cs="Times New Roman"/>
        </w:rPr>
        <w:t>l’efficacia del diritto dell’Unione rischierebbe di essere compromessa «se, a motivo della pendenza di un procedimento incidentale di controllo di costituzionalità, al giudice nazionale fosse</w:t>
      </w:r>
      <w:r w:rsidR="00FF3EEB" w:rsidRPr="00123A4F">
        <w:rPr>
          <w:rFonts w:ascii="Times New Roman" w:hAnsi="Times New Roman" w:cs="Times New Roman"/>
          <w:lang w:eastAsia="it-IT"/>
        </w:rPr>
        <w:t xml:space="preserve"> </w:t>
      </w:r>
      <w:r w:rsidR="00FF3EEB" w:rsidRPr="00123A4F">
        <w:rPr>
          <w:rFonts w:ascii="Times New Roman" w:hAnsi="Times New Roman" w:cs="Times New Roman"/>
        </w:rPr>
        <w:t>impedito di sottoporre questioni pregiudiziali alla Corte e di dare</w:t>
      </w:r>
      <w:r w:rsidR="00FF3EEB" w:rsidRPr="00123A4F">
        <w:rPr>
          <w:rFonts w:ascii="Times New Roman" w:hAnsi="Times New Roman" w:cs="Times New Roman"/>
          <w:lang w:eastAsia="it-IT"/>
        </w:rPr>
        <w:t xml:space="preserve"> </w:t>
      </w:r>
      <w:r w:rsidR="00FF3EEB" w:rsidRPr="00123A4F">
        <w:rPr>
          <w:rFonts w:ascii="Times New Roman" w:hAnsi="Times New Roman" w:cs="Times New Roman"/>
        </w:rPr>
        <w:t>immediatamente al diritto dell’Unione un’applicazione conforme alla</w:t>
      </w:r>
      <w:r w:rsidR="00FF3EEB" w:rsidRPr="00123A4F">
        <w:rPr>
          <w:rFonts w:ascii="Times New Roman" w:hAnsi="Times New Roman" w:cs="Times New Roman"/>
          <w:lang w:eastAsia="it-IT"/>
        </w:rPr>
        <w:t xml:space="preserve"> </w:t>
      </w:r>
      <w:r w:rsidR="00FF3EEB" w:rsidRPr="00123A4F">
        <w:rPr>
          <w:rFonts w:ascii="Times New Roman" w:hAnsi="Times New Roman" w:cs="Times New Roman"/>
        </w:rPr>
        <w:t>decisione o alla giurisprudenza della Corte»</w:t>
      </w:r>
      <w:r w:rsidR="000E39B0" w:rsidRPr="00123A4F">
        <w:rPr>
          <w:rFonts w:ascii="Times New Roman" w:hAnsi="Times New Roman" w:cs="Times New Roman"/>
        </w:rPr>
        <w:t>.</w:t>
      </w:r>
    </w:p>
  </w:footnote>
  <w:footnote w:id="93">
    <w:p w14:paraId="457E3F49" w14:textId="33EFB68F" w:rsidR="00FE5759" w:rsidRPr="00123A4F" w:rsidRDefault="00FE5759" w:rsidP="00FE5759">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In Corte cost., </w:t>
      </w:r>
      <w:proofErr w:type="spellStart"/>
      <w:r w:rsidRPr="00123A4F">
        <w:rPr>
          <w:rFonts w:ascii="Times New Roman" w:hAnsi="Times New Roman" w:cs="Times New Roman"/>
        </w:rPr>
        <w:t>sent</w:t>
      </w:r>
      <w:proofErr w:type="spellEnd"/>
      <w:r w:rsidRPr="00123A4F">
        <w:rPr>
          <w:rFonts w:ascii="Times New Roman" w:hAnsi="Times New Roman" w:cs="Times New Roman"/>
        </w:rPr>
        <w:t xml:space="preserve">. n. 20 del 2019, punto 2.1 del </w:t>
      </w:r>
      <w:r w:rsidRPr="00123A4F">
        <w:rPr>
          <w:rFonts w:ascii="Times New Roman" w:hAnsi="Times New Roman" w:cs="Times New Roman"/>
          <w:i/>
          <w:iCs/>
        </w:rPr>
        <w:t>Considerato in diritto</w:t>
      </w:r>
      <w:r w:rsidRPr="00123A4F">
        <w:rPr>
          <w:rFonts w:ascii="Times New Roman" w:hAnsi="Times New Roman" w:cs="Times New Roman"/>
        </w:rPr>
        <w:t xml:space="preserve"> si ribadisce che dinanzi ai casi di c.d. doppia pregiudizialità «va preservata l’opportunità di un intervento con effetti </w:t>
      </w:r>
      <w:r w:rsidRPr="00123A4F">
        <w:rPr>
          <w:rFonts w:ascii="Times New Roman" w:hAnsi="Times New Roman" w:cs="Times New Roman"/>
          <w:i/>
          <w:iCs/>
        </w:rPr>
        <w:t>erga omnes</w:t>
      </w:r>
      <w:r w:rsidRPr="00123A4F">
        <w:rPr>
          <w:rFonts w:ascii="Times New Roman" w:hAnsi="Times New Roman" w:cs="Times New Roman"/>
        </w:rPr>
        <w:t xml:space="preserve"> di questa Corte» con la precisazione che è «fatto salvo il ricorso al rinvio pregiudiziale per le questioni di interpretazione o di invalidità del diritto dell’Unione europea».</w:t>
      </w:r>
    </w:p>
  </w:footnote>
  <w:footnote w:id="94">
    <w:p w14:paraId="0397B05E" w14:textId="2F498E95" w:rsidR="009C5EC4" w:rsidRPr="00123A4F" w:rsidRDefault="009C5EC4" w:rsidP="009C5EC4">
      <w:pPr>
        <w:pStyle w:val="Testonotaapidipagina"/>
        <w:jc w:val="both"/>
        <w:rPr>
          <w:rFonts w:ascii="Times New Roman" w:hAnsi="Times New Roman" w:cs="Times New Roman"/>
        </w:rPr>
      </w:pPr>
      <w:r w:rsidRPr="00123A4F">
        <w:rPr>
          <w:rStyle w:val="Rimandonotaapidipagina"/>
          <w:rFonts w:ascii="Times New Roman" w:hAnsi="Times New Roman" w:cs="Times New Roman"/>
        </w:rPr>
        <w:footnoteRef/>
      </w:r>
      <w:r w:rsidRPr="00123A4F">
        <w:rPr>
          <w:rFonts w:ascii="Times New Roman" w:hAnsi="Times New Roman" w:cs="Times New Roman"/>
        </w:rPr>
        <w:t xml:space="preserve"> </w:t>
      </w:r>
      <w:r w:rsidR="00E03178" w:rsidRPr="00123A4F">
        <w:rPr>
          <w:rFonts w:ascii="Times New Roman" w:hAnsi="Times New Roman" w:cs="Times New Roman"/>
        </w:rPr>
        <w:t xml:space="preserve">Secondo </w:t>
      </w:r>
      <w:r w:rsidRPr="00123A4F">
        <w:rPr>
          <w:rFonts w:ascii="Times New Roman" w:hAnsi="Times New Roman" w:cs="Times New Roman"/>
          <w:smallCaps/>
        </w:rPr>
        <w:t>A. Ruggeri</w:t>
      </w:r>
      <w:r w:rsidRPr="00123A4F">
        <w:rPr>
          <w:rFonts w:ascii="Times New Roman" w:hAnsi="Times New Roman" w:cs="Times New Roman"/>
        </w:rPr>
        <w:t xml:space="preserve">, </w:t>
      </w:r>
      <w:r w:rsidRPr="00123A4F">
        <w:rPr>
          <w:rFonts w:ascii="Times New Roman" w:hAnsi="Times New Roman" w:cs="Times New Roman"/>
          <w:i/>
          <w:iCs/>
        </w:rPr>
        <w:t xml:space="preserve">La Consulta torna a dire nella “doppia pregiudizialità” con </w:t>
      </w:r>
      <w:proofErr w:type="gramStart"/>
      <w:r w:rsidRPr="00123A4F">
        <w:rPr>
          <w:rFonts w:ascii="Times New Roman" w:hAnsi="Times New Roman" w:cs="Times New Roman"/>
          <w:i/>
          <w:iCs/>
        </w:rPr>
        <w:t>riferimenti tuttavia</w:t>
      </w:r>
      <w:proofErr w:type="gramEnd"/>
      <w:r w:rsidRPr="00123A4F">
        <w:rPr>
          <w:rFonts w:ascii="Times New Roman" w:hAnsi="Times New Roman" w:cs="Times New Roman"/>
          <w:i/>
          <w:iCs/>
        </w:rPr>
        <w:t xml:space="preserve"> non pertinenti e argomenti non stringenti (note minime a margine di Corte cost. n. 147 del 2025)</w:t>
      </w:r>
      <w:r w:rsidRPr="00123A4F">
        <w:rPr>
          <w:rFonts w:ascii="Times New Roman" w:hAnsi="Times New Roman" w:cs="Times New Roman"/>
        </w:rPr>
        <w:t xml:space="preserve">, in </w:t>
      </w:r>
      <w:r w:rsidRPr="00123A4F">
        <w:rPr>
          <w:rFonts w:ascii="Times New Roman" w:hAnsi="Times New Roman" w:cs="Times New Roman"/>
          <w:i/>
          <w:iCs/>
        </w:rPr>
        <w:t>Consulta online</w:t>
      </w:r>
      <w:r w:rsidRPr="00123A4F">
        <w:rPr>
          <w:rFonts w:ascii="Times New Roman" w:hAnsi="Times New Roman" w:cs="Times New Roman"/>
        </w:rPr>
        <w:t xml:space="preserve">, 2025, 2, p. 1466 ss., </w:t>
      </w:r>
      <w:r w:rsidR="00E03178" w:rsidRPr="00123A4F">
        <w:rPr>
          <w:rFonts w:ascii="Times New Roman" w:hAnsi="Times New Roman" w:cs="Times New Roman"/>
        </w:rPr>
        <w:t xml:space="preserve">già con la sentenza n. 147 del 2025 </w:t>
      </w:r>
      <w:r w:rsidRPr="00123A4F">
        <w:rPr>
          <w:rFonts w:ascii="Times New Roman" w:hAnsi="Times New Roman" w:cs="Times New Roman"/>
        </w:rPr>
        <w:t xml:space="preserve">la Corte si «dichiara dell’idea che già al presente possa con» la disapplicazione «cumularsi il rimedio del sindacato accentrato di costituzionalità». Che sia davvero così è dubbio: nell’occasione, con un </w:t>
      </w:r>
      <w:r w:rsidRPr="00123A4F">
        <w:rPr>
          <w:rFonts w:ascii="Times New Roman" w:hAnsi="Times New Roman" w:cs="Times New Roman"/>
          <w:i/>
          <w:iCs/>
        </w:rPr>
        <w:t>obiter</w:t>
      </w:r>
      <w:r w:rsidRPr="00123A4F">
        <w:rPr>
          <w:rFonts w:ascii="Times New Roman" w:hAnsi="Times New Roman" w:cs="Times New Roman"/>
        </w:rPr>
        <w:t xml:space="preserve">, la Corte parrebbe essersi limitata a chiarire che nella particolare fattispecie dei giudizi antidiscriminatori oggetto della precedente pronuncia n. 15 del 2024 il contemporaneo utilizzo dei rimedi giurisdizionali è inevitabile, e deriva dalla peculiare natura di quel giudizio, ove il giudice comune, dopo aver disapplicato, intenda anche rimuovere </w:t>
      </w:r>
      <w:proofErr w:type="gramStart"/>
      <w:r w:rsidRPr="00123A4F">
        <w:rPr>
          <w:rFonts w:ascii="Times New Roman" w:hAnsi="Times New Roman" w:cs="Times New Roman"/>
          <w:i/>
          <w:iCs/>
        </w:rPr>
        <w:t>pro futuro</w:t>
      </w:r>
      <w:proofErr w:type="gramEnd"/>
      <w:r w:rsidRPr="00123A4F">
        <w:rPr>
          <w:rFonts w:ascii="Times New Roman" w:hAnsi="Times New Roman" w:cs="Times New Roman"/>
        </w:rPr>
        <w:t xml:space="preserve"> la discriminazione rilevata.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62B"/>
    <w:multiLevelType w:val="hybridMultilevel"/>
    <w:tmpl w:val="B726E4FC"/>
    <w:lvl w:ilvl="0" w:tplc="42B0B2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D5F1E69"/>
    <w:multiLevelType w:val="hybridMultilevel"/>
    <w:tmpl w:val="51FA38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5F6986"/>
    <w:multiLevelType w:val="hybridMultilevel"/>
    <w:tmpl w:val="A44EBB7A"/>
    <w:lvl w:ilvl="0" w:tplc="E77ABDC4">
      <w:start w:val="7"/>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9406F91"/>
    <w:multiLevelType w:val="hybridMultilevel"/>
    <w:tmpl w:val="56F0CA5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AA4340D"/>
    <w:multiLevelType w:val="hybridMultilevel"/>
    <w:tmpl w:val="5768A684"/>
    <w:lvl w:ilvl="0" w:tplc="10F291D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0F1948"/>
    <w:multiLevelType w:val="hybridMultilevel"/>
    <w:tmpl w:val="5F802F50"/>
    <w:lvl w:ilvl="0" w:tplc="A75873B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D5575CC"/>
    <w:multiLevelType w:val="multilevel"/>
    <w:tmpl w:val="CFD81DA6"/>
    <w:lvl w:ilvl="0">
      <w:numFmt w:val="bullet"/>
      <w:lvlText w:val="-"/>
      <w:lvlJc w:val="left"/>
      <w:pPr>
        <w:ind w:left="720" w:hanging="360"/>
      </w:pPr>
      <w:rPr>
        <w:rFonts w:ascii="Times New Roman" w:eastAsia="Apto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DBE36FD"/>
    <w:multiLevelType w:val="hybridMultilevel"/>
    <w:tmpl w:val="C95424F2"/>
    <w:lvl w:ilvl="0" w:tplc="8B3035C2">
      <w:start w:val="18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2C46085"/>
    <w:multiLevelType w:val="hybridMultilevel"/>
    <w:tmpl w:val="13FCEB56"/>
    <w:lvl w:ilvl="0" w:tplc="FFFFFFFF">
      <w:start w:val="14"/>
      <w:numFmt w:val="decimal"/>
      <w:lvlText w:val="%1."/>
      <w:lvlJc w:val="left"/>
      <w:pPr>
        <w:ind w:left="720" w:hanging="360"/>
      </w:pPr>
      <w:rPr>
        <w:rFont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97767C"/>
    <w:multiLevelType w:val="hybridMultilevel"/>
    <w:tmpl w:val="DDFEDA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DA43B7"/>
    <w:multiLevelType w:val="hybridMultilevel"/>
    <w:tmpl w:val="D3C26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216BEB"/>
    <w:multiLevelType w:val="hybridMultilevel"/>
    <w:tmpl w:val="13FCEB56"/>
    <w:lvl w:ilvl="0" w:tplc="A854134E">
      <w:start w:val="14"/>
      <w:numFmt w:val="decimal"/>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A159FB"/>
    <w:multiLevelType w:val="hybridMultilevel"/>
    <w:tmpl w:val="B1464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B6256E"/>
    <w:multiLevelType w:val="hybridMultilevel"/>
    <w:tmpl w:val="D3C26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774D1B"/>
    <w:multiLevelType w:val="hybridMultilevel"/>
    <w:tmpl w:val="BB321AA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9D3DBA"/>
    <w:multiLevelType w:val="hybridMultilevel"/>
    <w:tmpl w:val="C9204918"/>
    <w:lvl w:ilvl="0" w:tplc="20107F5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2F71D30"/>
    <w:multiLevelType w:val="hybridMultilevel"/>
    <w:tmpl w:val="141E39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775DF7"/>
    <w:multiLevelType w:val="hybridMultilevel"/>
    <w:tmpl w:val="35460B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73615B"/>
    <w:multiLevelType w:val="hybridMultilevel"/>
    <w:tmpl w:val="D3C267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D484BEF"/>
    <w:multiLevelType w:val="hybridMultilevel"/>
    <w:tmpl w:val="2242A878"/>
    <w:lvl w:ilvl="0" w:tplc="021082B0">
      <w:start w:val="5"/>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F23066"/>
    <w:multiLevelType w:val="hybridMultilevel"/>
    <w:tmpl w:val="4808BF38"/>
    <w:lvl w:ilvl="0" w:tplc="D720737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F30096C"/>
    <w:multiLevelType w:val="hybridMultilevel"/>
    <w:tmpl w:val="D7B49A68"/>
    <w:lvl w:ilvl="0" w:tplc="A7805D9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F1E297A"/>
    <w:multiLevelType w:val="hybridMultilevel"/>
    <w:tmpl w:val="20D4D7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F995891"/>
    <w:multiLevelType w:val="hybridMultilevel"/>
    <w:tmpl w:val="0B564A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3386248">
    <w:abstractNumId w:val="18"/>
  </w:num>
  <w:num w:numId="2" w16cid:durableId="117964838">
    <w:abstractNumId w:val="21"/>
  </w:num>
  <w:num w:numId="3" w16cid:durableId="1863472425">
    <w:abstractNumId w:val="5"/>
  </w:num>
  <w:num w:numId="4" w16cid:durableId="1294481179">
    <w:abstractNumId w:val="12"/>
  </w:num>
  <w:num w:numId="5" w16cid:durableId="196741230">
    <w:abstractNumId w:val="0"/>
  </w:num>
  <w:num w:numId="6" w16cid:durableId="411128622">
    <w:abstractNumId w:val="7"/>
  </w:num>
  <w:num w:numId="7" w16cid:durableId="1289777416">
    <w:abstractNumId w:val="15"/>
  </w:num>
  <w:num w:numId="8" w16cid:durableId="516889203">
    <w:abstractNumId w:val="14"/>
  </w:num>
  <w:num w:numId="9" w16cid:durableId="2117285794">
    <w:abstractNumId w:val="19"/>
  </w:num>
  <w:num w:numId="10" w16cid:durableId="1290164190">
    <w:abstractNumId w:val="3"/>
  </w:num>
  <w:num w:numId="11" w16cid:durableId="1886091414">
    <w:abstractNumId w:val="20"/>
  </w:num>
  <w:num w:numId="12" w16cid:durableId="1061363996">
    <w:abstractNumId w:val="11"/>
  </w:num>
  <w:num w:numId="13" w16cid:durableId="1885756409">
    <w:abstractNumId w:val="17"/>
  </w:num>
  <w:num w:numId="14" w16cid:durableId="2075540825">
    <w:abstractNumId w:val="10"/>
  </w:num>
  <w:num w:numId="15" w16cid:durableId="1372150979">
    <w:abstractNumId w:val="2"/>
  </w:num>
  <w:num w:numId="16" w16cid:durableId="316231704">
    <w:abstractNumId w:val="8"/>
  </w:num>
  <w:num w:numId="17" w16cid:durableId="513301218">
    <w:abstractNumId w:val="13"/>
  </w:num>
  <w:num w:numId="18" w16cid:durableId="1430151397">
    <w:abstractNumId w:val="23"/>
  </w:num>
  <w:num w:numId="19" w16cid:durableId="1906061773">
    <w:abstractNumId w:val="6"/>
  </w:num>
  <w:num w:numId="20" w16cid:durableId="4594542">
    <w:abstractNumId w:val="4"/>
  </w:num>
  <w:num w:numId="21" w16cid:durableId="594441508">
    <w:abstractNumId w:val="1"/>
  </w:num>
  <w:num w:numId="22" w16cid:durableId="1829007057">
    <w:abstractNumId w:val="22"/>
  </w:num>
  <w:num w:numId="23" w16cid:durableId="1580214124">
    <w:abstractNumId w:val="16"/>
  </w:num>
  <w:num w:numId="24" w16cid:durableId="243028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2A"/>
    <w:rsid w:val="00000D7D"/>
    <w:rsid w:val="00000E90"/>
    <w:rsid w:val="000016C5"/>
    <w:rsid w:val="00001D81"/>
    <w:rsid w:val="000036EE"/>
    <w:rsid w:val="00006F02"/>
    <w:rsid w:val="000072CA"/>
    <w:rsid w:val="00012DF8"/>
    <w:rsid w:val="00017255"/>
    <w:rsid w:val="00017A9E"/>
    <w:rsid w:val="000216B8"/>
    <w:rsid w:val="00023B25"/>
    <w:rsid w:val="00025FB0"/>
    <w:rsid w:val="00032C59"/>
    <w:rsid w:val="00033DCC"/>
    <w:rsid w:val="00033FB5"/>
    <w:rsid w:val="00034476"/>
    <w:rsid w:val="0003480F"/>
    <w:rsid w:val="00035560"/>
    <w:rsid w:val="000419F4"/>
    <w:rsid w:val="000421E6"/>
    <w:rsid w:val="00042278"/>
    <w:rsid w:val="000460C0"/>
    <w:rsid w:val="000518A0"/>
    <w:rsid w:val="000524D5"/>
    <w:rsid w:val="00055923"/>
    <w:rsid w:val="00062366"/>
    <w:rsid w:val="000636DE"/>
    <w:rsid w:val="00065FF1"/>
    <w:rsid w:val="00066E65"/>
    <w:rsid w:val="00070B4F"/>
    <w:rsid w:val="00073901"/>
    <w:rsid w:val="00073A4F"/>
    <w:rsid w:val="00073A6A"/>
    <w:rsid w:val="00076937"/>
    <w:rsid w:val="00081305"/>
    <w:rsid w:val="00081BAC"/>
    <w:rsid w:val="00082047"/>
    <w:rsid w:val="00082328"/>
    <w:rsid w:val="00085442"/>
    <w:rsid w:val="00090243"/>
    <w:rsid w:val="000902BA"/>
    <w:rsid w:val="00091272"/>
    <w:rsid w:val="0009369D"/>
    <w:rsid w:val="00095176"/>
    <w:rsid w:val="00095188"/>
    <w:rsid w:val="00095D7B"/>
    <w:rsid w:val="00097E3C"/>
    <w:rsid w:val="000A1619"/>
    <w:rsid w:val="000A4B28"/>
    <w:rsid w:val="000A4B64"/>
    <w:rsid w:val="000A4F96"/>
    <w:rsid w:val="000A5783"/>
    <w:rsid w:val="000A5BB3"/>
    <w:rsid w:val="000B3EC0"/>
    <w:rsid w:val="000B7BCE"/>
    <w:rsid w:val="000C2408"/>
    <w:rsid w:val="000C326C"/>
    <w:rsid w:val="000C4502"/>
    <w:rsid w:val="000C47A2"/>
    <w:rsid w:val="000C73E4"/>
    <w:rsid w:val="000D5BC8"/>
    <w:rsid w:val="000D6F09"/>
    <w:rsid w:val="000D77D5"/>
    <w:rsid w:val="000E268F"/>
    <w:rsid w:val="000E39B0"/>
    <w:rsid w:val="000E768C"/>
    <w:rsid w:val="000F5498"/>
    <w:rsid w:val="000F717F"/>
    <w:rsid w:val="000F7AC3"/>
    <w:rsid w:val="00101A4F"/>
    <w:rsid w:val="001022C6"/>
    <w:rsid w:val="0011087E"/>
    <w:rsid w:val="00111209"/>
    <w:rsid w:val="001119EF"/>
    <w:rsid w:val="00123A4F"/>
    <w:rsid w:val="00126B5B"/>
    <w:rsid w:val="00126D71"/>
    <w:rsid w:val="00126F92"/>
    <w:rsid w:val="0013487E"/>
    <w:rsid w:val="00134CDE"/>
    <w:rsid w:val="00134E2C"/>
    <w:rsid w:val="00137A4B"/>
    <w:rsid w:val="001444C4"/>
    <w:rsid w:val="001455E0"/>
    <w:rsid w:val="0015040A"/>
    <w:rsid w:val="00153990"/>
    <w:rsid w:val="00153A37"/>
    <w:rsid w:val="0016004D"/>
    <w:rsid w:val="00160DF6"/>
    <w:rsid w:val="00161900"/>
    <w:rsid w:val="00161CB2"/>
    <w:rsid w:val="001641C2"/>
    <w:rsid w:val="00164270"/>
    <w:rsid w:val="00167E59"/>
    <w:rsid w:val="00170A41"/>
    <w:rsid w:val="0017267B"/>
    <w:rsid w:val="00172FB9"/>
    <w:rsid w:val="00173420"/>
    <w:rsid w:val="0017441B"/>
    <w:rsid w:val="00175933"/>
    <w:rsid w:val="001761B9"/>
    <w:rsid w:val="00182A57"/>
    <w:rsid w:val="00190F1C"/>
    <w:rsid w:val="00191BAB"/>
    <w:rsid w:val="00191DE0"/>
    <w:rsid w:val="00192820"/>
    <w:rsid w:val="00193545"/>
    <w:rsid w:val="00193923"/>
    <w:rsid w:val="00194214"/>
    <w:rsid w:val="001A0D9C"/>
    <w:rsid w:val="001B2533"/>
    <w:rsid w:val="001B2D9C"/>
    <w:rsid w:val="001B55D8"/>
    <w:rsid w:val="001B7C33"/>
    <w:rsid w:val="001B7C7E"/>
    <w:rsid w:val="001C320D"/>
    <w:rsid w:val="001C4494"/>
    <w:rsid w:val="001C5159"/>
    <w:rsid w:val="001C7BF1"/>
    <w:rsid w:val="001D0197"/>
    <w:rsid w:val="001D061D"/>
    <w:rsid w:val="001D18F3"/>
    <w:rsid w:val="001D2ABE"/>
    <w:rsid w:val="001D2D82"/>
    <w:rsid w:val="001D55D4"/>
    <w:rsid w:val="001D646F"/>
    <w:rsid w:val="001D6667"/>
    <w:rsid w:val="001D677E"/>
    <w:rsid w:val="001E2341"/>
    <w:rsid w:val="001E25A0"/>
    <w:rsid w:val="001E4C53"/>
    <w:rsid w:val="001E6963"/>
    <w:rsid w:val="001F1C7C"/>
    <w:rsid w:val="001F29B9"/>
    <w:rsid w:val="001F3863"/>
    <w:rsid w:val="001F480F"/>
    <w:rsid w:val="001F4F29"/>
    <w:rsid w:val="001F4F50"/>
    <w:rsid w:val="001F6427"/>
    <w:rsid w:val="001F7069"/>
    <w:rsid w:val="001F7306"/>
    <w:rsid w:val="00200E73"/>
    <w:rsid w:val="0020574E"/>
    <w:rsid w:val="0020664E"/>
    <w:rsid w:val="002114A7"/>
    <w:rsid w:val="002177E1"/>
    <w:rsid w:val="00220503"/>
    <w:rsid w:val="00222163"/>
    <w:rsid w:val="00222507"/>
    <w:rsid w:val="002235F2"/>
    <w:rsid w:val="0022384C"/>
    <w:rsid w:val="00225245"/>
    <w:rsid w:val="00230D45"/>
    <w:rsid w:val="00231B99"/>
    <w:rsid w:val="0023473B"/>
    <w:rsid w:val="00235DEF"/>
    <w:rsid w:val="00236B3D"/>
    <w:rsid w:val="00237893"/>
    <w:rsid w:val="00243436"/>
    <w:rsid w:val="00246973"/>
    <w:rsid w:val="00246BF3"/>
    <w:rsid w:val="00247C17"/>
    <w:rsid w:val="002514C4"/>
    <w:rsid w:val="00252D1D"/>
    <w:rsid w:val="00252D25"/>
    <w:rsid w:val="0025516C"/>
    <w:rsid w:val="00261371"/>
    <w:rsid w:val="00263190"/>
    <w:rsid w:val="00271686"/>
    <w:rsid w:val="002736E8"/>
    <w:rsid w:val="002763E4"/>
    <w:rsid w:val="00280675"/>
    <w:rsid w:val="00282A6A"/>
    <w:rsid w:val="002833E1"/>
    <w:rsid w:val="002834C8"/>
    <w:rsid w:val="00283D99"/>
    <w:rsid w:val="002841D9"/>
    <w:rsid w:val="00287F10"/>
    <w:rsid w:val="00290BF3"/>
    <w:rsid w:val="00293439"/>
    <w:rsid w:val="00296D4A"/>
    <w:rsid w:val="002A0255"/>
    <w:rsid w:val="002A0FC6"/>
    <w:rsid w:val="002A4C65"/>
    <w:rsid w:val="002A6E1C"/>
    <w:rsid w:val="002A752F"/>
    <w:rsid w:val="002B3268"/>
    <w:rsid w:val="002B3E9B"/>
    <w:rsid w:val="002B3F25"/>
    <w:rsid w:val="002B4218"/>
    <w:rsid w:val="002B6813"/>
    <w:rsid w:val="002B7464"/>
    <w:rsid w:val="002B7B7A"/>
    <w:rsid w:val="002C06F1"/>
    <w:rsid w:val="002C0C93"/>
    <w:rsid w:val="002C7054"/>
    <w:rsid w:val="002D1F8D"/>
    <w:rsid w:val="002D2FE9"/>
    <w:rsid w:val="002D328B"/>
    <w:rsid w:val="002D366D"/>
    <w:rsid w:val="002D410B"/>
    <w:rsid w:val="002D5B82"/>
    <w:rsid w:val="002D6A05"/>
    <w:rsid w:val="002D6FDD"/>
    <w:rsid w:val="002E0DEF"/>
    <w:rsid w:val="002E0F6D"/>
    <w:rsid w:val="002E142D"/>
    <w:rsid w:val="002E16B7"/>
    <w:rsid w:val="002E2900"/>
    <w:rsid w:val="002E2A10"/>
    <w:rsid w:val="002E39A3"/>
    <w:rsid w:val="002E4165"/>
    <w:rsid w:val="002E5890"/>
    <w:rsid w:val="002E5942"/>
    <w:rsid w:val="002E601D"/>
    <w:rsid w:val="002E70AA"/>
    <w:rsid w:val="002E7E79"/>
    <w:rsid w:val="002F1222"/>
    <w:rsid w:val="002F33A9"/>
    <w:rsid w:val="002F50E9"/>
    <w:rsid w:val="002F5196"/>
    <w:rsid w:val="002F7D27"/>
    <w:rsid w:val="003004F3"/>
    <w:rsid w:val="003014C5"/>
    <w:rsid w:val="00301730"/>
    <w:rsid w:val="00302643"/>
    <w:rsid w:val="00302DF4"/>
    <w:rsid w:val="003033D1"/>
    <w:rsid w:val="00303C42"/>
    <w:rsid w:val="00306D55"/>
    <w:rsid w:val="00306E98"/>
    <w:rsid w:val="00307F79"/>
    <w:rsid w:val="0031034F"/>
    <w:rsid w:val="00311295"/>
    <w:rsid w:val="00312162"/>
    <w:rsid w:val="00312718"/>
    <w:rsid w:val="00312962"/>
    <w:rsid w:val="0031470B"/>
    <w:rsid w:val="00314901"/>
    <w:rsid w:val="00316248"/>
    <w:rsid w:val="00317DF6"/>
    <w:rsid w:val="00323902"/>
    <w:rsid w:val="003250CA"/>
    <w:rsid w:val="0032561A"/>
    <w:rsid w:val="003262C7"/>
    <w:rsid w:val="003304E0"/>
    <w:rsid w:val="00331708"/>
    <w:rsid w:val="003321C9"/>
    <w:rsid w:val="00332C6D"/>
    <w:rsid w:val="00342AB8"/>
    <w:rsid w:val="00342D4C"/>
    <w:rsid w:val="0034469E"/>
    <w:rsid w:val="00346AEA"/>
    <w:rsid w:val="00347BA8"/>
    <w:rsid w:val="00351049"/>
    <w:rsid w:val="003569B6"/>
    <w:rsid w:val="00357252"/>
    <w:rsid w:val="00360BB8"/>
    <w:rsid w:val="00362A16"/>
    <w:rsid w:val="00363B04"/>
    <w:rsid w:val="0036623D"/>
    <w:rsid w:val="00367019"/>
    <w:rsid w:val="003673CB"/>
    <w:rsid w:val="00370E39"/>
    <w:rsid w:val="00375C53"/>
    <w:rsid w:val="003764F9"/>
    <w:rsid w:val="003768EF"/>
    <w:rsid w:val="003804F4"/>
    <w:rsid w:val="00381B53"/>
    <w:rsid w:val="00381F1A"/>
    <w:rsid w:val="003821F5"/>
    <w:rsid w:val="00382FE6"/>
    <w:rsid w:val="003852B7"/>
    <w:rsid w:val="00385AB9"/>
    <w:rsid w:val="00386D9D"/>
    <w:rsid w:val="00393CEA"/>
    <w:rsid w:val="00395B1B"/>
    <w:rsid w:val="003A011D"/>
    <w:rsid w:val="003A081D"/>
    <w:rsid w:val="003A1B37"/>
    <w:rsid w:val="003A25FC"/>
    <w:rsid w:val="003A4954"/>
    <w:rsid w:val="003A57B6"/>
    <w:rsid w:val="003B067E"/>
    <w:rsid w:val="003B1290"/>
    <w:rsid w:val="003B21F2"/>
    <w:rsid w:val="003B3F3F"/>
    <w:rsid w:val="003B46B2"/>
    <w:rsid w:val="003B4A52"/>
    <w:rsid w:val="003B4D02"/>
    <w:rsid w:val="003C3057"/>
    <w:rsid w:val="003C59C5"/>
    <w:rsid w:val="003D2453"/>
    <w:rsid w:val="003D6C9D"/>
    <w:rsid w:val="003E000F"/>
    <w:rsid w:val="003F08FB"/>
    <w:rsid w:val="003F2075"/>
    <w:rsid w:val="003F38CB"/>
    <w:rsid w:val="003F4676"/>
    <w:rsid w:val="003F58C6"/>
    <w:rsid w:val="003F5CDB"/>
    <w:rsid w:val="003F62E2"/>
    <w:rsid w:val="003F6BD3"/>
    <w:rsid w:val="004057D3"/>
    <w:rsid w:val="00405923"/>
    <w:rsid w:val="00405B8C"/>
    <w:rsid w:val="00410992"/>
    <w:rsid w:val="004118D0"/>
    <w:rsid w:val="00412454"/>
    <w:rsid w:val="004131BA"/>
    <w:rsid w:val="00413374"/>
    <w:rsid w:val="00414DFF"/>
    <w:rsid w:val="0041544E"/>
    <w:rsid w:val="00417628"/>
    <w:rsid w:val="00420ACC"/>
    <w:rsid w:val="0042208C"/>
    <w:rsid w:val="00422B63"/>
    <w:rsid w:val="00425CD5"/>
    <w:rsid w:val="00426137"/>
    <w:rsid w:val="0042741D"/>
    <w:rsid w:val="00430A87"/>
    <w:rsid w:val="004327E6"/>
    <w:rsid w:val="0043408F"/>
    <w:rsid w:val="00434A7A"/>
    <w:rsid w:val="00436902"/>
    <w:rsid w:val="00436A2A"/>
    <w:rsid w:val="00437A9A"/>
    <w:rsid w:val="0044001F"/>
    <w:rsid w:val="00440A28"/>
    <w:rsid w:val="0044223D"/>
    <w:rsid w:val="00442724"/>
    <w:rsid w:val="00442EFA"/>
    <w:rsid w:val="00443A30"/>
    <w:rsid w:val="0044553E"/>
    <w:rsid w:val="00450B26"/>
    <w:rsid w:val="00454487"/>
    <w:rsid w:val="00454758"/>
    <w:rsid w:val="004554AC"/>
    <w:rsid w:val="00457094"/>
    <w:rsid w:val="00460CB6"/>
    <w:rsid w:val="00461B09"/>
    <w:rsid w:val="004651CE"/>
    <w:rsid w:val="0047115A"/>
    <w:rsid w:val="00471CB1"/>
    <w:rsid w:val="0047232A"/>
    <w:rsid w:val="00473AF5"/>
    <w:rsid w:val="00475041"/>
    <w:rsid w:val="00475CE6"/>
    <w:rsid w:val="0048067D"/>
    <w:rsid w:val="00482426"/>
    <w:rsid w:val="004858B3"/>
    <w:rsid w:val="00486D86"/>
    <w:rsid w:val="00495551"/>
    <w:rsid w:val="004A3A12"/>
    <w:rsid w:val="004B2041"/>
    <w:rsid w:val="004B322F"/>
    <w:rsid w:val="004B3BA4"/>
    <w:rsid w:val="004B408C"/>
    <w:rsid w:val="004B5321"/>
    <w:rsid w:val="004B73E1"/>
    <w:rsid w:val="004C5FB4"/>
    <w:rsid w:val="004C6E02"/>
    <w:rsid w:val="004C6FED"/>
    <w:rsid w:val="004D0255"/>
    <w:rsid w:val="004D2D18"/>
    <w:rsid w:val="004E2D63"/>
    <w:rsid w:val="004E3108"/>
    <w:rsid w:val="004E3D4E"/>
    <w:rsid w:val="004E4673"/>
    <w:rsid w:val="004E484C"/>
    <w:rsid w:val="004E68DE"/>
    <w:rsid w:val="004F02BB"/>
    <w:rsid w:val="004F5185"/>
    <w:rsid w:val="004F5ABF"/>
    <w:rsid w:val="0050011C"/>
    <w:rsid w:val="0050012C"/>
    <w:rsid w:val="00501529"/>
    <w:rsid w:val="005041C2"/>
    <w:rsid w:val="005052D4"/>
    <w:rsid w:val="0050533A"/>
    <w:rsid w:val="005069F3"/>
    <w:rsid w:val="00506CE8"/>
    <w:rsid w:val="005076B7"/>
    <w:rsid w:val="00511482"/>
    <w:rsid w:val="005117CD"/>
    <w:rsid w:val="00511991"/>
    <w:rsid w:val="0052014F"/>
    <w:rsid w:val="00520EA9"/>
    <w:rsid w:val="00522C26"/>
    <w:rsid w:val="005252A0"/>
    <w:rsid w:val="00532892"/>
    <w:rsid w:val="00533697"/>
    <w:rsid w:val="00534622"/>
    <w:rsid w:val="00534DD9"/>
    <w:rsid w:val="0053728E"/>
    <w:rsid w:val="00540794"/>
    <w:rsid w:val="005423FC"/>
    <w:rsid w:val="00544147"/>
    <w:rsid w:val="0054590F"/>
    <w:rsid w:val="00547AAA"/>
    <w:rsid w:val="00547C09"/>
    <w:rsid w:val="00550B96"/>
    <w:rsid w:val="00553193"/>
    <w:rsid w:val="005536F4"/>
    <w:rsid w:val="00555E4B"/>
    <w:rsid w:val="0056005A"/>
    <w:rsid w:val="00560EE3"/>
    <w:rsid w:val="0056100E"/>
    <w:rsid w:val="005613D8"/>
    <w:rsid w:val="00561B76"/>
    <w:rsid w:val="00564C21"/>
    <w:rsid w:val="00571D23"/>
    <w:rsid w:val="005729E9"/>
    <w:rsid w:val="005774AA"/>
    <w:rsid w:val="0058016A"/>
    <w:rsid w:val="00582E0E"/>
    <w:rsid w:val="005833AB"/>
    <w:rsid w:val="00583DD5"/>
    <w:rsid w:val="005845AF"/>
    <w:rsid w:val="005858F8"/>
    <w:rsid w:val="0059087F"/>
    <w:rsid w:val="005911B1"/>
    <w:rsid w:val="0059127E"/>
    <w:rsid w:val="00591284"/>
    <w:rsid w:val="0059224F"/>
    <w:rsid w:val="0059298E"/>
    <w:rsid w:val="00593C35"/>
    <w:rsid w:val="00593D69"/>
    <w:rsid w:val="005964A5"/>
    <w:rsid w:val="00596CA0"/>
    <w:rsid w:val="005A0376"/>
    <w:rsid w:val="005A1337"/>
    <w:rsid w:val="005A3F14"/>
    <w:rsid w:val="005A57EC"/>
    <w:rsid w:val="005A6EF0"/>
    <w:rsid w:val="005A71B2"/>
    <w:rsid w:val="005B02E8"/>
    <w:rsid w:val="005B1FFD"/>
    <w:rsid w:val="005B2D2D"/>
    <w:rsid w:val="005B36CB"/>
    <w:rsid w:val="005B5D7C"/>
    <w:rsid w:val="005B5F5D"/>
    <w:rsid w:val="005B7DA4"/>
    <w:rsid w:val="005C210F"/>
    <w:rsid w:val="005C2318"/>
    <w:rsid w:val="005C2734"/>
    <w:rsid w:val="005C2CDB"/>
    <w:rsid w:val="005C2D2C"/>
    <w:rsid w:val="005C2FD2"/>
    <w:rsid w:val="005C475E"/>
    <w:rsid w:val="005C728D"/>
    <w:rsid w:val="005D08B0"/>
    <w:rsid w:val="005D0DF7"/>
    <w:rsid w:val="005E08E7"/>
    <w:rsid w:val="005E3A0F"/>
    <w:rsid w:val="005E3B01"/>
    <w:rsid w:val="005E4FE9"/>
    <w:rsid w:val="005E558E"/>
    <w:rsid w:val="005E7444"/>
    <w:rsid w:val="005F12F2"/>
    <w:rsid w:val="005F12F9"/>
    <w:rsid w:val="005F48C2"/>
    <w:rsid w:val="005F49DC"/>
    <w:rsid w:val="005F55B6"/>
    <w:rsid w:val="005F5D6E"/>
    <w:rsid w:val="005F6296"/>
    <w:rsid w:val="005F6395"/>
    <w:rsid w:val="005F66C2"/>
    <w:rsid w:val="005F72A0"/>
    <w:rsid w:val="00600568"/>
    <w:rsid w:val="00601FE6"/>
    <w:rsid w:val="00602FB8"/>
    <w:rsid w:val="006058B2"/>
    <w:rsid w:val="00610FBE"/>
    <w:rsid w:val="00613A02"/>
    <w:rsid w:val="00614974"/>
    <w:rsid w:val="006220B8"/>
    <w:rsid w:val="006224F0"/>
    <w:rsid w:val="00622BF6"/>
    <w:rsid w:val="00623D7E"/>
    <w:rsid w:val="0062526F"/>
    <w:rsid w:val="006362BF"/>
    <w:rsid w:val="0064086D"/>
    <w:rsid w:val="006421F2"/>
    <w:rsid w:val="00643430"/>
    <w:rsid w:val="00646A80"/>
    <w:rsid w:val="00651602"/>
    <w:rsid w:val="006524FE"/>
    <w:rsid w:val="00653379"/>
    <w:rsid w:val="00655C2A"/>
    <w:rsid w:val="00656439"/>
    <w:rsid w:val="00657175"/>
    <w:rsid w:val="0066423C"/>
    <w:rsid w:val="006655AD"/>
    <w:rsid w:val="006656C8"/>
    <w:rsid w:val="00665DE8"/>
    <w:rsid w:val="0066796C"/>
    <w:rsid w:val="0067038D"/>
    <w:rsid w:val="006703D8"/>
    <w:rsid w:val="006705CD"/>
    <w:rsid w:val="006721B9"/>
    <w:rsid w:val="00672B83"/>
    <w:rsid w:val="00675B4A"/>
    <w:rsid w:val="006768BB"/>
    <w:rsid w:val="006807E0"/>
    <w:rsid w:val="006826B3"/>
    <w:rsid w:val="006827AD"/>
    <w:rsid w:val="0068297C"/>
    <w:rsid w:val="0068438A"/>
    <w:rsid w:val="00687EEB"/>
    <w:rsid w:val="0069344E"/>
    <w:rsid w:val="006940DB"/>
    <w:rsid w:val="00694161"/>
    <w:rsid w:val="00694B0B"/>
    <w:rsid w:val="006A41F3"/>
    <w:rsid w:val="006A4943"/>
    <w:rsid w:val="006A5D86"/>
    <w:rsid w:val="006A6631"/>
    <w:rsid w:val="006A68C8"/>
    <w:rsid w:val="006B0D92"/>
    <w:rsid w:val="006B1267"/>
    <w:rsid w:val="006B6039"/>
    <w:rsid w:val="006C05C5"/>
    <w:rsid w:val="006C141C"/>
    <w:rsid w:val="006C2867"/>
    <w:rsid w:val="006C2AAF"/>
    <w:rsid w:val="006C367E"/>
    <w:rsid w:val="006C3DCF"/>
    <w:rsid w:val="006C51FF"/>
    <w:rsid w:val="006C7369"/>
    <w:rsid w:val="006D0523"/>
    <w:rsid w:val="006D1E8C"/>
    <w:rsid w:val="006D2FE1"/>
    <w:rsid w:val="006D646F"/>
    <w:rsid w:val="006D66B0"/>
    <w:rsid w:val="006D77B6"/>
    <w:rsid w:val="006E0AF0"/>
    <w:rsid w:val="006E233E"/>
    <w:rsid w:val="006E347D"/>
    <w:rsid w:val="006F0051"/>
    <w:rsid w:val="006F00AB"/>
    <w:rsid w:val="006F195F"/>
    <w:rsid w:val="006F3B09"/>
    <w:rsid w:val="006F3CA7"/>
    <w:rsid w:val="006F6F0C"/>
    <w:rsid w:val="006F7992"/>
    <w:rsid w:val="0070267D"/>
    <w:rsid w:val="00703995"/>
    <w:rsid w:val="00705934"/>
    <w:rsid w:val="00706E52"/>
    <w:rsid w:val="00713D48"/>
    <w:rsid w:val="00715664"/>
    <w:rsid w:val="0072316D"/>
    <w:rsid w:val="00724AAA"/>
    <w:rsid w:val="007267B4"/>
    <w:rsid w:val="007270BC"/>
    <w:rsid w:val="00727D23"/>
    <w:rsid w:val="00731D76"/>
    <w:rsid w:val="007357F6"/>
    <w:rsid w:val="007411C7"/>
    <w:rsid w:val="007427C0"/>
    <w:rsid w:val="007436DF"/>
    <w:rsid w:val="0075160B"/>
    <w:rsid w:val="007526D7"/>
    <w:rsid w:val="0075735F"/>
    <w:rsid w:val="0075751B"/>
    <w:rsid w:val="0076130E"/>
    <w:rsid w:val="00761934"/>
    <w:rsid w:val="007627CD"/>
    <w:rsid w:val="00764745"/>
    <w:rsid w:val="007704AD"/>
    <w:rsid w:val="00772A43"/>
    <w:rsid w:val="00773A38"/>
    <w:rsid w:val="00773E35"/>
    <w:rsid w:val="007755C3"/>
    <w:rsid w:val="007759FC"/>
    <w:rsid w:val="00776EB8"/>
    <w:rsid w:val="0078082A"/>
    <w:rsid w:val="00784D0E"/>
    <w:rsid w:val="00792548"/>
    <w:rsid w:val="0079306F"/>
    <w:rsid w:val="00793857"/>
    <w:rsid w:val="007950CD"/>
    <w:rsid w:val="007A02D8"/>
    <w:rsid w:val="007A6EAA"/>
    <w:rsid w:val="007A6EC4"/>
    <w:rsid w:val="007B096F"/>
    <w:rsid w:val="007B2C13"/>
    <w:rsid w:val="007B33DD"/>
    <w:rsid w:val="007B3F93"/>
    <w:rsid w:val="007B6A43"/>
    <w:rsid w:val="007B721B"/>
    <w:rsid w:val="007C1457"/>
    <w:rsid w:val="007C28A8"/>
    <w:rsid w:val="007C2A59"/>
    <w:rsid w:val="007C489E"/>
    <w:rsid w:val="007C511F"/>
    <w:rsid w:val="007C5FF9"/>
    <w:rsid w:val="007C6674"/>
    <w:rsid w:val="007C6763"/>
    <w:rsid w:val="007D1381"/>
    <w:rsid w:val="007D1D87"/>
    <w:rsid w:val="007D2089"/>
    <w:rsid w:val="007D2099"/>
    <w:rsid w:val="007D6538"/>
    <w:rsid w:val="007D73C2"/>
    <w:rsid w:val="007E11BC"/>
    <w:rsid w:val="007E25CA"/>
    <w:rsid w:val="007E34CD"/>
    <w:rsid w:val="007E388D"/>
    <w:rsid w:val="007E3B58"/>
    <w:rsid w:val="007E516C"/>
    <w:rsid w:val="007E7C56"/>
    <w:rsid w:val="007F378C"/>
    <w:rsid w:val="007F561C"/>
    <w:rsid w:val="008040B4"/>
    <w:rsid w:val="008066B0"/>
    <w:rsid w:val="00806902"/>
    <w:rsid w:val="00810633"/>
    <w:rsid w:val="00810D26"/>
    <w:rsid w:val="008118F9"/>
    <w:rsid w:val="008124B9"/>
    <w:rsid w:val="00817FA5"/>
    <w:rsid w:val="008223E4"/>
    <w:rsid w:val="00822DDF"/>
    <w:rsid w:val="008231A3"/>
    <w:rsid w:val="00823A8F"/>
    <w:rsid w:val="00823E8C"/>
    <w:rsid w:val="008270D5"/>
    <w:rsid w:val="008330B6"/>
    <w:rsid w:val="008347DF"/>
    <w:rsid w:val="00835DE9"/>
    <w:rsid w:val="00836373"/>
    <w:rsid w:val="00836DAF"/>
    <w:rsid w:val="008409A2"/>
    <w:rsid w:val="00841357"/>
    <w:rsid w:val="00842865"/>
    <w:rsid w:val="0084367A"/>
    <w:rsid w:val="008444EC"/>
    <w:rsid w:val="00852E75"/>
    <w:rsid w:val="00853D24"/>
    <w:rsid w:val="0085527C"/>
    <w:rsid w:val="0086074B"/>
    <w:rsid w:val="008609EF"/>
    <w:rsid w:val="00860B10"/>
    <w:rsid w:val="008618C1"/>
    <w:rsid w:val="00861BF8"/>
    <w:rsid w:val="00862522"/>
    <w:rsid w:val="008665E5"/>
    <w:rsid w:val="008674E2"/>
    <w:rsid w:val="00872DA2"/>
    <w:rsid w:val="00880F50"/>
    <w:rsid w:val="00883B16"/>
    <w:rsid w:val="00884C42"/>
    <w:rsid w:val="00884E69"/>
    <w:rsid w:val="0088542B"/>
    <w:rsid w:val="00885B60"/>
    <w:rsid w:val="008905B5"/>
    <w:rsid w:val="00891653"/>
    <w:rsid w:val="0089223A"/>
    <w:rsid w:val="00892C67"/>
    <w:rsid w:val="00893A02"/>
    <w:rsid w:val="00896E17"/>
    <w:rsid w:val="008A04B4"/>
    <w:rsid w:val="008A08AE"/>
    <w:rsid w:val="008A0A86"/>
    <w:rsid w:val="008A3267"/>
    <w:rsid w:val="008A3283"/>
    <w:rsid w:val="008A50A2"/>
    <w:rsid w:val="008A7931"/>
    <w:rsid w:val="008A7EA1"/>
    <w:rsid w:val="008B38FF"/>
    <w:rsid w:val="008B3A20"/>
    <w:rsid w:val="008B3B3D"/>
    <w:rsid w:val="008B447E"/>
    <w:rsid w:val="008C0FAB"/>
    <w:rsid w:val="008C641A"/>
    <w:rsid w:val="008D02BF"/>
    <w:rsid w:val="008D0415"/>
    <w:rsid w:val="008D09FD"/>
    <w:rsid w:val="008D49E1"/>
    <w:rsid w:val="008D5118"/>
    <w:rsid w:val="008D7EF1"/>
    <w:rsid w:val="008E1F4C"/>
    <w:rsid w:val="008E2B0C"/>
    <w:rsid w:val="008E3917"/>
    <w:rsid w:val="008E3EE7"/>
    <w:rsid w:val="008E44A6"/>
    <w:rsid w:val="008E5688"/>
    <w:rsid w:val="008E66FA"/>
    <w:rsid w:val="008E7C75"/>
    <w:rsid w:val="008F0F5D"/>
    <w:rsid w:val="008F15BE"/>
    <w:rsid w:val="008F5936"/>
    <w:rsid w:val="008F680B"/>
    <w:rsid w:val="00900F9A"/>
    <w:rsid w:val="009014A2"/>
    <w:rsid w:val="00902EE4"/>
    <w:rsid w:val="0090522B"/>
    <w:rsid w:val="00905F20"/>
    <w:rsid w:val="00912805"/>
    <w:rsid w:val="009140D0"/>
    <w:rsid w:val="00914253"/>
    <w:rsid w:val="0091653D"/>
    <w:rsid w:val="00916EAA"/>
    <w:rsid w:val="009172D2"/>
    <w:rsid w:val="00922934"/>
    <w:rsid w:val="00923467"/>
    <w:rsid w:val="00923578"/>
    <w:rsid w:val="00926B65"/>
    <w:rsid w:val="00927487"/>
    <w:rsid w:val="009276B7"/>
    <w:rsid w:val="009316C4"/>
    <w:rsid w:val="00931B84"/>
    <w:rsid w:val="00933064"/>
    <w:rsid w:val="00934552"/>
    <w:rsid w:val="00944077"/>
    <w:rsid w:val="00944122"/>
    <w:rsid w:val="00944823"/>
    <w:rsid w:val="00945810"/>
    <w:rsid w:val="00946056"/>
    <w:rsid w:val="00951B8E"/>
    <w:rsid w:val="00954213"/>
    <w:rsid w:val="00955E3B"/>
    <w:rsid w:val="00957364"/>
    <w:rsid w:val="009600FE"/>
    <w:rsid w:val="009603CF"/>
    <w:rsid w:val="009653AB"/>
    <w:rsid w:val="00965FB8"/>
    <w:rsid w:val="00966549"/>
    <w:rsid w:val="0097359B"/>
    <w:rsid w:val="0097416B"/>
    <w:rsid w:val="009748ED"/>
    <w:rsid w:val="00975F00"/>
    <w:rsid w:val="00976036"/>
    <w:rsid w:val="00977267"/>
    <w:rsid w:val="00981A64"/>
    <w:rsid w:val="00981B3A"/>
    <w:rsid w:val="00987BFC"/>
    <w:rsid w:val="009903E4"/>
    <w:rsid w:val="00992F57"/>
    <w:rsid w:val="00993246"/>
    <w:rsid w:val="00993D64"/>
    <w:rsid w:val="009941FA"/>
    <w:rsid w:val="009A1F37"/>
    <w:rsid w:val="009A6839"/>
    <w:rsid w:val="009A7BE7"/>
    <w:rsid w:val="009B437D"/>
    <w:rsid w:val="009B595B"/>
    <w:rsid w:val="009C5EC4"/>
    <w:rsid w:val="009C60B6"/>
    <w:rsid w:val="009C6C55"/>
    <w:rsid w:val="009D0A4D"/>
    <w:rsid w:val="009D1E65"/>
    <w:rsid w:val="009D351F"/>
    <w:rsid w:val="009D36C3"/>
    <w:rsid w:val="009D4875"/>
    <w:rsid w:val="009D4C5D"/>
    <w:rsid w:val="009D7C7F"/>
    <w:rsid w:val="009E3EB4"/>
    <w:rsid w:val="009E4ADD"/>
    <w:rsid w:val="009F146B"/>
    <w:rsid w:val="009F3302"/>
    <w:rsid w:val="009F3FA8"/>
    <w:rsid w:val="009F537F"/>
    <w:rsid w:val="009F5B1F"/>
    <w:rsid w:val="009F6F4C"/>
    <w:rsid w:val="00A00C0B"/>
    <w:rsid w:val="00A03266"/>
    <w:rsid w:val="00A10729"/>
    <w:rsid w:val="00A11936"/>
    <w:rsid w:val="00A121C2"/>
    <w:rsid w:val="00A170C5"/>
    <w:rsid w:val="00A23F0F"/>
    <w:rsid w:val="00A3000C"/>
    <w:rsid w:val="00A35D78"/>
    <w:rsid w:val="00A37667"/>
    <w:rsid w:val="00A41C6F"/>
    <w:rsid w:val="00A4205E"/>
    <w:rsid w:val="00A437BA"/>
    <w:rsid w:val="00A43BA3"/>
    <w:rsid w:val="00A4489C"/>
    <w:rsid w:val="00A4528D"/>
    <w:rsid w:val="00A462DF"/>
    <w:rsid w:val="00A4639E"/>
    <w:rsid w:val="00A463F9"/>
    <w:rsid w:val="00A46916"/>
    <w:rsid w:val="00A522E6"/>
    <w:rsid w:val="00A55150"/>
    <w:rsid w:val="00A56C47"/>
    <w:rsid w:val="00A57426"/>
    <w:rsid w:val="00A6144F"/>
    <w:rsid w:val="00A63A26"/>
    <w:rsid w:val="00A65C42"/>
    <w:rsid w:val="00A66D5D"/>
    <w:rsid w:val="00A671CD"/>
    <w:rsid w:val="00A71E03"/>
    <w:rsid w:val="00A7265C"/>
    <w:rsid w:val="00A72C1E"/>
    <w:rsid w:val="00A74672"/>
    <w:rsid w:val="00A75DA8"/>
    <w:rsid w:val="00A826EF"/>
    <w:rsid w:val="00A8360D"/>
    <w:rsid w:val="00A8571C"/>
    <w:rsid w:val="00A909C3"/>
    <w:rsid w:val="00A92A78"/>
    <w:rsid w:val="00A9376D"/>
    <w:rsid w:val="00A93FE1"/>
    <w:rsid w:val="00A96E44"/>
    <w:rsid w:val="00AA0059"/>
    <w:rsid w:val="00AA0600"/>
    <w:rsid w:val="00AA28A1"/>
    <w:rsid w:val="00AA4D8D"/>
    <w:rsid w:val="00AA7A88"/>
    <w:rsid w:val="00AB0889"/>
    <w:rsid w:val="00AB25C7"/>
    <w:rsid w:val="00AB4548"/>
    <w:rsid w:val="00AB6069"/>
    <w:rsid w:val="00AB643A"/>
    <w:rsid w:val="00AB68CA"/>
    <w:rsid w:val="00AB6B9C"/>
    <w:rsid w:val="00AB7DCC"/>
    <w:rsid w:val="00AB7E73"/>
    <w:rsid w:val="00AC03D1"/>
    <w:rsid w:val="00AC2267"/>
    <w:rsid w:val="00AC3C4C"/>
    <w:rsid w:val="00AD01DB"/>
    <w:rsid w:val="00AD0DA3"/>
    <w:rsid w:val="00AD2B90"/>
    <w:rsid w:val="00AD47AD"/>
    <w:rsid w:val="00AD65FB"/>
    <w:rsid w:val="00AD6A60"/>
    <w:rsid w:val="00AD734D"/>
    <w:rsid w:val="00AE10D2"/>
    <w:rsid w:val="00AE21F7"/>
    <w:rsid w:val="00AE3012"/>
    <w:rsid w:val="00AE3132"/>
    <w:rsid w:val="00AE3946"/>
    <w:rsid w:val="00AE5327"/>
    <w:rsid w:val="00AE5639"/>
    <w:rsid w:val="00AE78E3"/>
    <w:rsid w:val="00AE7C23"/>
    <w:rsid w:val="00AF132B"/>
    <w:rsid w:val="00AF3C5D"/>
    <w:rsid w:val="00AF416B"/>
    <w:rsid w:val="00AF49B6"/>
    <w:rsid w:val="00AF4CE8"/>
    <w:rsid w:val="00AF568A"/>
    <w:rsid w:val="00B00DCC"/>
    <w:rsid w:val="00B01956"/>
    <w:rsid w:val="00B02BB3"/>
    <w:rsid w:val="00B02BDF"/>
    <w:rsid w:val="00B02D4F"/>
    <w:rsid w:val="00B10AB5"/>
    <w:rsid w:val="00B25D13"/>
    <w:rsid w:val="00B2695B"/>
    <w:rsid w:val="00B30860"/>
    <w:rsid w:val="00B32D9C"/>
    <w:rsid w:val="00B330D6"/>
    <w:rsid w:val="00B33ECE"/>
    <w:rsid w:val="00B35103"/>
    <w:rsid w:val="00B4082C"/>
    <w:rsid w:val="00B40B17"/>
    <w:rsid w:val="00B41014"/>
    <w:rsid w:val="00B414DA"/>
    <w:rsid w:val="00B42EB6"/>
    <w:rsid w:val="00B45CBF"/>
    <w:rsid w:val="00B47494"/>
    <w:rsid w:val="00B478DB"/>
    <w:rsid w:val="00B5057E"/>
    <w:rsid w:val="00B509B0"/>
    <w:rsid w:val="00B52CFE"/>
    <w:rsid w:val="00B555B0"/>
    <w:rsid w:val="00B563F8"/>
    <w:rsid w:val="00B577FD"/>
    <w:rsid w:val="00B6020A"/>
    <w:rsid w:val="00B61025"/>
    <w:rsid w:val="00B61748"/>
    <w:rsid w:val="00B637DE"/>
    <w:rsid w:val="00B638A2"/>
    <w:rsid w:val="00B64273"/>
    <w:rsid w:val="00B64A82"/>
    <w:rsid w:val="00B7257E"/>
    <w:rsid w:val="00B74050"/>
    <w:rsid w:val="00B75E4C"/>
    <w:rsid w:val="00B8028D"/>
    <w:rsid w:val="00B8442D"/>
    <w:rsid w:val="00B86116"/>
    <w:rsid w:val="00B90138"/>
    <w:rsid w:val="00B9098A"/>
    <w:rsid w:val="00B91D2C"/>
    <w:rsid w:val="00B925F2"/>
    <w:rsid w:val="00B92F54"/>
    <w:rsid w:val="00B9384B"/>
    <w:rsid w:val="00B94578"/>
    <w:rsid w:val="00B94E1B"/>
    <w:rsid w:val="00B9654E"/>
    <w:rsid w:val="00BA350C"/>
    <w:rsid w:val="00BA4280"/>
    <w:rsid w:val="00BA734B"/>
    <w:rsid w:val="00BB0627"/>
    <w:rsid w:val="00BB0BFB"/>
    <w:rsid w:val="00BB0DAC"/>
    <w:rsid w:val="00BB1341"/>
    <w:rsid w:val="00BB1DFC"/>
    <w:rsid w:val="00BB54A7"/>
    <w:rsid w:val="00BB628B"/>
    <w:rsid w:val="00BB759F"/>
    <w:rsid w:val="00BC033B"/>
    <w:rsid w:val="00BC1DDF"/>
    <w:rsid w:val="00BC1F11"/>
    <w:rsid w:val="00BC2DDF"/>
    <w:rsid w:val="00BC3D63"/>
    <w:rsid w:val="00BC591B"/>
    <w:rsid w:val="00BC64C5"/>
    <w:rsid w:val="00BD1023"/>
    <w:rsid w:val="00BD4794"/>
    <w:rsid w:val="00BD79D0"/>
    <w:rsid w:val="00BE3F2F"/>
    <w:rsid w:val="00BE411D"/>
    <w:rsid w:val="00BE54D9"/>
    <w:rsid w:val="00BE6734"/>
    <w:rsid w:val="00BE6E33"/>
    <w:rsid w:val="00BF1319"/>
    <w:rsid w:val="00BF1329"/>
    <w:rsid w:val="00BF196C"/>
    <w:rsid w:val="00BF1B1F"/>
    <w:rsid w:val="00BF4413"/>
    <w:rsid w:val="00BF4E75"/>
    <w:rsid w:val="00BF7892"/>
    <w:rsid w:val="00C0148A"/>
    <w:rsid w:val="00C02813"/>
    <w:rsid w:val="00C03600"/>
    <w:rsid w:val="00C05313"/>
    <w:rsid w:val="00C059D0"/>
    <w:rsid w:val="00C06116"/>
    <w:rsid w:val="00C061B2"/>
    <w:rsid w:val="00C119A5"/>
    <w:rsid w:val="00C15B5E"/>
    <w:rsid w:val="00C1694B"/>
    <w:rsid w:val="00C1729A"/>
    <w:rsid w:val="00C25530"/>
    <w:rsid w:val="00C261ED"/>
    <w:rsid w:val="00C26D40"/>
    <w:rsid w:val="00C277F1"/>
    <w:rsid w:val="00C3211B"/>
    <w:rsid w:val="00C3373A"/>
    <w:rsid w:val="00C34DE9"/>
    <w:rsid w:val="00C35B93"/>
    <w:rsid w:val="00C36C35"/>
    <w:rsid w:val="00C37039"/>
    <w:rsid w:val="00C40D01"/>
    <w:rsid w:val="00C40F05"/>
    <w:rsid w:val="00C428A4"/>
    <w:rsid w:val="00C42927"/>
    <w:rsid w:val="00C434BB"/>
    <w:rsid w:val="00C43D13"/>
    <w:rsid w:val="00C456B2"/>
    <w:rsid w:val="00C4732E"/>
    <w:rsid w:val="00C478B3"/>
    <w:rsid w:val="00C4795A"/>
    <w:rsid w:val="00C51C7C"/>
    <w:rsid w:val="00C532E4"/>
    <w:rsid w:val="00C5493F"/>
    <w:rsid w:val="00C54EF1"/>
    <w:rsid w:val="00C55124"/>
    <w:rsid w:val="00C55557"/>
    <w:rsid w:val="00C57353"/>
    <w:rsid w:val="00C60255"/>
    <w:rsid w:val="00C6154F"/>
    <w:rsid w:val="00C63F38"/>
    <w:rsid w:val="00C66F5B"/>
    <w:rsid w:val="00C67023"/>
    <w:rsid w:val="00C70CEE"/>
    <w:rsid w:val="00C7564A"/>
    <w:rsid w:val="00C81D09"/>
    <w:rsid w:val="00C84567"/>
    <w:rsid w:val="00C84E25"/>
    <w:rsid w:val="00C86245"/>
    <w:rsid w:val="00C86FB5"/>
    <w:rsid w:val="00C91B37"/>
    <w:rsid w:val="00C924CA"/>
    <w:rsid w:val="00C92E53"/>
    <w:rsid w:val="00C92F90"/>
    <w:rsid w:val="00C937B3"/>
    <w:rsid w:val="00CA3137"/>
    <w:rsid w:val="00CA3A7C"/>
    <w:rsid w:val="00CA4D01"/>
    <w:rsid w:val="00CA5815"/>
    <w:rsid w:val="00CA585F"/>
    <w:rsid w:val="00CA6571"/>
    <w:rsid w:val="00CA6AE3"/>
    <w:rsid w:val="00CA7285"/>
    <w:rsid w:val="00CA72A4"/>
    <w:rsid w:val="00CA78C6"/>
    <w:rsid w:val="00CA7B6A"/>
    <w:rsid w:val="00CB3A70"/>
    <w:rsid w:val="00CB70D5"/>
    <w:rsid w:val="00CB774F"/>
    <w:rsid w:val="00CC0C84"/>
    <w:rsid w:val="00CC33CC"/>
    <w:rsid w:val="00CC432D"/>
    <w:rsid w:val="00CC4C89"/>
    <w:rsid w:val="00CC652A"/>
    <w:rsid w:val="00CC73C8"/>
    <w:rsid w:val="00CC7B53"/>
    <w:rsid w:val="00CC7D42"/>
    <w:rsid w:val="00CD0B0B"/>
    <w:rsid w:val="00CD2953"/>
    <w:rsid w:val="00CD2C28"/>
    <w:rsid w:val="00CD331D"/>
    <w:rsid w:val="00CD3798"/>
    <w:rsid w:val="00CD471A"/>
    <w:rsid w:val="00CD4B0F"/>
    <w:rsid w:val="00CD4D86"/>
    <w:rsid w:val="00CD6416"/>
    <w:rsid w:val="00CE242C"/>
    <w:rsid w:val="00CE258C"/>
    <w:rsid w:val="00CE4881"/>
    <w:rsid w:val="00CF0100"/>
    <w:rsid w:val="00CF0496"/>
    <w:rsid w:val="00CF1390"/>
    <w:rsid w:val="00CF3C84"/>
    <w:rsid w:val="00CF43DC"/>
    <w:rsid w:val="00CF6134"/>
    <w:rsid w:val="00CF7B02"/>
    <w:rsid w:val="00D02316"/>
    <w:rsid w:val="00D07214"/>
    <w:rsid w:val="00D1108D"/>
    <w:rsid w:val="00D121F3"/>
    <w:rsid w:val="00D12953"/>
    <w:rsid w:val="00D142C8"/>
    <w:rsid w:val="00D14517"/>
    <w:rsid w:val="00D172E8"/>
    <w:rsid w:val="00D244C7"/>
    <w:rsid w:val="00D3019E"/>
    <w:rsid w:val="00D34463"/>
    <w:rsid w:val="00D42FAF"/>
    <w:rsid w:val="00D43747"/>
    <w:rsid w:val="00D47B7D"/>
    <w:rsid w:val="00D55010"/>
    <w:rsid w:val="00D563E5"/>
    <w:rsid w:val="00D56625"/>
    <w:rsid w:val="00D6334D"/>
    <w:rsid w:val="00D63697"/>
    <w:rsid w:val="00D6392A"/>
    <w:rsid w:val="00D63E77"/>
    <w:rsid w:val="00D63EA3"/>
    <w:rsid w:val="00D66B14"/>
    <w:rsid w:val="00D708A9"/>
    <w:rsid w:val="00D711BD"/>
    <w:rsid w:val="00D72A95"/>
    <w:rsid w:val="00D73AC6"/>
    <w:rsid w:val="00D73DCF"/>
    <w:rsid w:val="00D753E4"/>
    <w:rsid w:val="00D75527"/>
    <w:rsid w:val="00D766E6"/>
    <w:rsid w:val="00D76D8E"/>
    <w:rsid w:val="00D770CB"/>
    <w:rsid w:val="00D80550"/>
    <w:rsid w:val="00D8556D"/>
    <w:rsid w:val="00D91878"/>
    <w:rsid w:val="00D91C88"/>
    <w:rsid w:val="00D93E7B"/>
    <w:rsid w:val="00D959D5"/>
    <w:rsid w:val="00D96301"/>
    <w:rsid w:val="00D963B3"/>
    <w:rsid w:val="00DA4C6E"/>
    <w:rsid w:val="00DA757A"/>
    <w:rsid w:val="00DB020B"/>
    <w:rsid w:val="00DB1DD7"/>
    <w:rsid w:val="00DB23DA"/>
    <w:rsid w:val="00DB2F0C"/>
    <w:rsid w:val="00DB3170"/>
    <w:rsid w:val="00DB545C"/>
    <w:rsid w:val="00DB54B8"/>
    <w:rsid w:val="00DB6F8D"/>
    <w:rsid w:val="00DB74CC"/>
    <w:rsid w:val="00DB786E"/>
    <w:rsid w:val="00DC0F0D"/>
    <w:rsid w:val="00DC2046"/>
    <w:rsid w:val="00DC2A7B"/>
    <w:rsid w:val="00DC300D"/>
    <w:rsid w:val="00DC3D68"/>
    <w:rsid w:val="00DC43F5"/>
    <w:rsid w:val="00DC6FB3"/>
    <w:rsid w:val="00DC7C97"/>
    <w:rsid w:val="00DD4BB6"/>
    <w:rsid w:val="00DD55FA"/>
    <w:rsid w:val="00DD574F"/>
    <w:rsid w:val="00DD5E5C"/>
    <w:rsid w:val="00DE02DF"/>
    <w:rsid w:val="00DE030A"/>
    <w:rsid w:val="00DE0983"/>
    <w:rsid w:val="00DE0ECC"/>
    <w:rsid w:val="00DE0ECE"/>
    <w:rsid w:val="00DE2405"/>
    <w:rsid w:val="00DE74AE"/>
    <w:rsid w:val="00DE761D"/>
    <w:rsid w:val="00DF090B"/>
    <w:rsid w:val="00DF7AAA"/>
    <w:rsid w:val="00E0252B"/>
    <w:rsid w:val="00E02EAD"/>
    <w:rsid w:val="00E03178"/>
    <w:rsid w:val="00E04C86"/>
    <w:rsid w:val="00E11566"/>
    <w:rsid w:val="00E1258D"/>
    <w:rsid w:val="00E13695"/>
    <w:rsid w:val="00E13D64"/>
    <w:rsid w:val="00E14942"/>
    <w:rsid w:val="00E170AF"/>
    <w:rsid w:val="00E17534"/>
    <w:rsid w:val="00E22824"/>
    <w:rsid w:val="00E22A35"/>
    <w:rsid w:val="00E23DE3"/>
    <w:rsid w:val="00E25FA5"/>
    <w:rsid w:val="00E300F6"/>
    <w:rsid w:val="00E302BC"/>
    <w:rsid w:val="00E30AD5"/>
    <w:rsid w:val="00E30C9F"/>
    <w:rsid w:val="00E31D03"/>
    <w:rsid w:val="00E3503B"/>
    <w:rsid w:val="00E351EE"/>
    <w:rsid w:val="00E36F76"/>
    <w:rsid w:val="00E3745E"/>
    <w:rsid w:val="00E41181"/>
    <w:rsid w:val="00E4119C"/>
    <w:rsid w:val="00E439D2"/>
    <w:rsid w:val="00E44A99"/>
    <w:rsid w:val="00E47106"/>
    <w:rsid w:val="00E5298F"/>
    <w:rsid w:val="00E529BC"/>
    <w:rsid w:val="00E52EEA"/>
    <w:rsid w:val="00E53B58"/>
    <w:rsid w:val="00E55015"/>
    <w:rsid w:val="00E55839"/>
    <w:rsid w:val="00E56B03"/>
    <w:rsid w:val="00E61659"/>
    <w:rsid w:val="00E63580"/>
    <w:rsid w:val="00E63E5D"/>
    <w:rsid w:val="00E6559A"/>
    <w:rsid w:val="00E659AE"/>
    <w:rsid w:val="00E663E6"/>
    <w:rsid w:val="00E66A4A"/>
    <w:rsid w:val="00E676E4"/>
    <w:rsid w:val="00E712C7"/>
    <w:rsid w:val="00E7356C"/>
    <w:rsid w:val="00E76AA4"/>
    <w:rsid w:val="00E83380"/>
    <w:rsid w:val="00E8664A"/>
    <w:rsid w:val="00E90B21"/>
    <w:rsid w:val="00E91F93"/>
    <w:rsid w:val="00E92075"/>
    <w:rsid w:val="00E9682B"/>
    <w:rsid w:val="00EA1AC9"/>
    <w:rsid w:val="00EA569A"/>
    <w:rsid w:val="00EA5C96"/>
    <w:rsid w:val="00EB339D"/>
    <w:rsid w:val="00EB3A61"/>
    <w:rsid w:val="00EB63B6"/>
    <w:rsid w:val="00EB6D23"/>
    <w:rsid w:val="00EB7079"/>
    <w:rsid w:val="00EB7784"/>
    <w:rsid w:val="00EC1DA6"/>
    <w:rsid w:val="00EC2155"/>
    <w:rsid w:val="00EC4297"/>
    <w:rsid w:val="00EC4F45"/>
    <w:rsid w:val="00EC5490"/>
    <w:rsid w:val="00EC7C13"/>
    <w:rsid w:val="00ED39EB"/>
    <w:rsid w:val="00ED4025"/>
    <w:rsid w:val="00EE220B"/>
    <w:rsid w:val="00EE3D1C"/>
    <w:rsid w:val="00EE42BC"/>
    <w:rsid w:val="00EE53E8"/>
    <w:rsid w:val="00EE67AE"/>
    <w:rsid w:val="00EE6ADE"/>
    <w:rsid w:val="00EE70C1"/>
    <w:rsid w:val="00EE7609"/>
    <w:rsid w:val="00EE7CE6"/>
    <w:rsid w:val="00EF3483"/>
    <w:rsid w:val="00EF41C3"/>
    <w:rsid w:val="00EF6400"/>
    <w:rsid w:val="00EF6A9B"/>
    <w:rsid w:val="00F011AD"/>
    <w:rsid w:val="00F0376E"/>
    <w:rsid w:val="00F04E81"/>
    <w:rsid w:val="00F071AC"/>
    <w:rsid w:val="00F12D52"/>
    <w:rsid w:val="00F1387C"/>
    <w:rsid w:val="00F145DA"/>
    <w:rsid w:val="00F148BF"/>
    <w:rsid w:val="00F176E1"/>
    <w:rsid w:val="00F20532"/>
    <w:rsid w:val="00F20D8D"/>
    <w:rsid w:val="00F2169C"/>
    <w:rsid w:val="00F23B83"/>
    <w:rsid w:val="00F2610E"/>
    <w:rsid w:val="00F30611"/>
    <w:rsid w:val="00F30ED1"/>
    <w:rsid w:val="00F31464"/>
    <w:rsid w:val="00F33F83"/>
    <w:rsid w:val="00F34D77"/>
    <w:rsid w:val="00F34FE3"/>
    <w:rsid w:val="00F356AB"/>
    <w:rsid w:val="00F367F2"/>
    <w:rsid w:val="00F418AB"/>
    <w:rsid w:val="00F41E1A"/>
    <w:rsid w:val="00F43692"/>
    <w:rsid w:val="00F45342"/>
    <w:rsid w:val="00F45AE4"/>
    <w:rsid w:val="00F46C40"/>
    <w:rsid w:val="00F50C46"/>
    <w:rsid w:val="00F54280"/>
    <w:rsid w:val="00F55657"/>
    <w:rsid w:val="00F55B0E"/>
    <w:rsid w:val="00F56C74"/>
    <w:rsid w:val="00F641B0"/>
    <w:rsid w:val="00F646D1"/>
    <w:rsid w:val="00F64FEA"/>
    <w:rsid w:val="00F66192"/>
    <w:rsid w:val="00F66452"/>
    <w:rsid w:val="00F66DBB"/>
    <w:rsid w:val="00F717EC"/>
    <w:rsid w:val="00F72B8B"/>
    <w:rsid w:val="00F72BE9"/>
    <w:rsid w:val="00F754B2"/>
    <w:rsid w:val="00F7694B"/>
    <w:rsid w:val="00F77503"/>
    <w:rsid w:val="00F80342"/>
    <w:rsid w:val="00F81FFA"/>
    <w:rsid w:val="00F83615"/>
    <w:rsid w:val="00F8365C"/>
    <w:rsid w:val="00F844E6"/>
    <w:rsid w:val="00F85A35"/>
    <w:rsid w:val="00F87EE8"/>
    <w:rsid w:val="00F901E2"/>
    <w:rsid w:val="00F9072A"/>
    <w:rsid w:val="00F91B16"/>
    <w:rsid w:val="00F955B3"/>
    <w:rsid w:val="00F9718B"/>
    <w:rsid w:val="00F9718F"/>
    <w:rsid w:val="00FA3DDA"/>
    <w:rsid w:val="00FA4E24"/>
    <w:rsid w:val="00FB0BD8"/>
    <w:rsid w:val="00FB18ED"/>
    <w:rsid w:val="00FB569F"/>
    <w:rsid w:val="00FB7D69"/>
    <w:rsid w:val="00FC193F"/>
    <w:rsid w:val="00FC756E"/>
    <w:rsid w:val="00FD14E9"/>
    <w:rsid w:val="00FD2486"/>
    <w:rsid w:val="00FD4828"/>
    <w:rsid w:val="00FD4B53"/>
    <w:rsid w:val="00FD4B7A"/>
    <w:rsid w:val="00FD5D27"/>
    <w:rsid w:val="00FD7BE1"/>
    <w:rsid w:val="00FE0C40"/>
    <w:rsid w:val="00FE0D2A"/>
    <w:rsid w:val="00FE3E4F"/>
    <w:rsid w:val="00FE5759"/>
    <w:rsid w:val="00FE5938"/>
    <w:rsid w:val="00FE6CBF"/>
    <w:rsid w:val="00FE72D9"/>
    <w:rsid w:val="00FE736D"/>
    <w:rsid w:val="00FF350D"/>
    <w:rsid w:val="00FF3EEB"/>
    <w:rsid w:val="00FF4120"/>
    <w:rsid w:val="00FF41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F69"/>
  <w15:chartTrackingRefBased/>
  <w15:docId w15:val="{5D6ABBB3-AD46-4F0B-A626-1791C2A4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80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80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78082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082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082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8082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082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082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082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082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78082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78082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082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8082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808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08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08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08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0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08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082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08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082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082A"/>
    <w:rPr>
      <w:i/>
      <w:iCs/>
      <w:color w:val="404040" w:themeColor="text1" w:themeTint="BF"/>
    </w:rPr>
  </w:style>
  <w:style w:type="paragraph" w:styleId="Paragrafoelenco">
    <w:name w:val="List Paragraph"/>
    <w:basedOn w:val="Normale"/>
    <w:uiPriority w:val="34"/>
    <w:qFormat/>
    <w:rsid w:val="0078082A"/>
    <w:pPr>
      <w:ind w:left="720"/>
      <w:contextualSpacing/>
    </w:pPr>
  </w:style>
  <w:style w:type="character" w:styleId="Enfasiintensa">
    <w:name w:val="Intense Emphasis"/>
    <w:basedOn w:val="Carpredefinitoparagrafo"/>
    <w:uiPriority w:val="21"/>
    <w:qFormat/>
    <w:rsid w:val="0078082A"/>
    <w:rPr>
      <w:i/>
      <w:iCs/>
      <w:color w:val="0F4761" w:themeColor="accent1" w:themeShade="BF"/>
    </w:rPr>
  </w:style>
  <w:style w:type="paragraph" w:styleId="Citazioneintensa">
    <w:name w:val="Intense Quote"/>
    <w:basedOn w:val="Normale"/>
    <w:next w:val="Normale"/>
    <w:link w:val="CitazioneintensaCarattere"/>
    <w:uiPriority w:val="30"/>
    <w:qFormat/>
    <w:rsid w:val="00780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082A"/>
    <w:rPr>
      <w:i/>
      <w:iCs/>
      <w:color w:val="0F4761" w:themeColor="accent1" w:themeShade="BF"/>
    </w:rPr>
  </w:style>
  <w:style w:type="character" w:styleId="Riferimentointenso">
    <w:name w:val="Intense Reference"/>
    <w:basedOn w:val="Carpredefinitoparagrafo"/>
    <w:uiPriority w:val="32"/>
    <w:qFormat/>
    <w:rsid w:val="0078082A"/>
    <w:rPr>
      <w:b/>
      <w:bCs/>
      <w:smallCaps/>
      <w:color w:val="0F4761" w:themeColor="accent1" w:themeShade="BF"/>
      <w:spacing w:val="5"/>
    </w:rPr>
  </w:style>
  <w:style w:type="character" w:styleId="Collegamentoipertestuale">
    <w:name w:val="Hyperlink"/>
    <w:basedOn w:val="Carpredefinitoparagrafo"/>
    <w:uiPriority w:val="99"/>
    <w:unhideWhenUsed/>
    <w:rsid w:val="00AB0889"/>
    <w:rPr>
      <w:color w:val="0000FF"/>
      <w:u w:val="single"/>
    </w:rPr>
  </w:style>
  <w:style w:type="paragraph" w:styleId="Testonotaapidipagina">
    <w:name w:val="footnote text"/>
    <w:basedOn w:val="Normale"/>
    <w:link w:val="TestonotaapidipaginaCarattere"/>
    <w:unhideWhenUsed/>
    <w:rsid w:val="00BF4E7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BF4E75"/>
    <w:rPr>
      <w:sz w:val="20"/>
      <w:szCs w:val="20"/>
    </w:rPr>
  </w:style>
  <w:style w:type="character" w:styleId="Rimandonotaapidipagina">
    <w:name w:val="footnote reference"/>
    <w:basedOn w:val="Carpredefinitoparagrafo"/>
    <w:unhideWhenUsed/>
    <w:rsid w:val="00BF4E75"/>
    <w:rPr>
      <w:vertAlign w:val="superscript"/>
    </w:rPr>
  </w:style>
  <w:style w:type="paragraph" w:styleId="NormaleWeb">
    <w:name w:val="Normal (Web)"/>
    <w:basedOn w:val="Normale"/>
    <w:uiPriority w:val="99"/>
    <w:unhideWhenUsed/>
    <w:rsid w:val="0089223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414DFF"/>
    <w:rPr>
      <w:b/>
      <w:bCs/>
    </w:rPr>
  </w:style>
  <w:style w:type="character" w:customStyle="1" w:styleId="generated">
    <w:name w:val="generated"/>
    <w:rsid w:val="00EE7609"/>
    <w:rPr>
      <w:shd w:val="diagStripe" w:color="C6D9F1" w:fill="auto"/>
    </w:rPr>
  </w:style>
  <w:style w:type="paragraph" w:customStyle="1" w:styleId="para">
    <w:name w:val="para"/>
    <w:rsid w:val="00EE7609"/>
    <w:pPr>
      <w:spacing w:after="0" w:line="240" w:lineRule="auto"/>
    </w:pPr>
    <w:rPr>
      <w:rFonts w:eastAsiaTheme="minorEastAsia"/>
      <w:kern w:val="0"/>
      <w:sz w:val="24"/>
      <w:szCs w:val="24"/>
      <w:lang w:eastAsia="it-IT"/>
      <w14:ligatures w14:val="none"/>
    </w:rPr>
  </w:style>
  <w:style w:type="character" w:styleId="Enfasicorsivo">
    <w:name w:val="Emphasis"/>
    <w:basedOn w:val="Carpredefinitoparagrafo"/>
    <w:uiPriority w:val="20"/>
    <w:qFormat/>
    <w:rsid w:val="008C641A"/>
    <w:rPr>
      <w:i/>
      <w:iCs/>
    </w:rPr>
  </w:style>
  <w:style w:type="table" w:styleId="Grigliatabella">
    <w:name w:val="Table Grid"/>
    <w:basedOn w:val="Tabellanormale"/>
    <w:uiPriority w:val="39"/>
    <w:rsid w:val="00025F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47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47DF"/>
  </w:style>
  <w:style w:type="paragraph" w:styleId="Pidipagina">
    <w:name w:val="footer"/>
    <w:basedOn w:val="Normale"/>
    <w:link w:val="PidipaginaCarattere"/>
    <w:uiPriority w:val="99"/>
    <w:unhideWhenUsed/>
    <w:rsid w:val="008347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47DF"/>
  </w:style>
  <w:style w:type="character" w:customStyle="1" w:styleId="corsivo">
    <w:name w:val="corsivo"/>
    <w:basedOn w:val="Carpredefinitoparagrafo"/>
    <w:rsid w:val="00A4639E"/>
    <w:rPr>
      <w:i/>
      <w:iCs/>
    </w:rPr>
  </w:style>
  <w:style w:type="paragraph" w:customStyle="1" w:styleId="paragraph">
    <w:name w:val="paragraph"/>
    <w:basedOn w:val="Normale"/>
    <w:rsid w:val="00C924C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C924CA"/>
  </w:style>
  <w:style w:type="character" w:customStyle="1" w:styleId="eop">
    <w:name w:val="eop"/>
    <w:basedOn w:val="Carpredefinitoparagrafo"/>
    <w:rsid w:val="00C924CA"/>
  </w:style>
  <w:style w:type="paragraph" w:styleId="Revisione">
    <w:name w:val="Revision"/>
    <w:hidden/>
    <w:uiPriority w:val="99"/>
    <w:semiHidden/>
    <w:rsid w:val="00B478DB"/>
    <w:pPr>
      <w:spacing w:after="0" w:line="240" w:lineRule="auto"/>
    </w:pPr>
  </w:style>
  <w:style w:type="character" w:styleId="Rimandocommento">
    <w:name w:val="annotation reference"/>
    <w:basedOn w:val="Carpredefinitoparagrafo"/>
    <w:uiPriority w:val="99"/>
    <w:semiHidden/>
    <w:unhideWhenUsed/>
    <w:rsid w:val="00F8365C"/>
    <w:rPr>
      <w:sz w:val="16"/>
      <w:szCs w:val="16"/>
    </w:rPr>
  </w:style>
  <w:style w:type="paragraph" w:styleId="Testocommento">
    <w:name w:val="annotation text"/>
    <w:basedOn w:val="Normale"/>
    <w:link w:val="TestocommentoCarattere"/>
    <w:uiPriority w:val="99"/>
    <w:semiHidden/>
    <w:unhideWhenUsed/>
    <w:rsid w:val="00F8365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8365C"/>
    <w:rPr>
      <w:sz w:val="20"/>
      <w:szCs w:val="20"/>
    </w:rPr>
  </w:style>
  <w:style w:type="paragraph" w:styleId="Soggettocommento">
    <w:name w:val="annotation subject"/>
    <w:basedOn w:val="Testocommento"/>
    <w:next w:val="Testocommento"/>
    <w:link w:val="SoggettocommentoCarattere"/>
    <w:uiPriority w:val="99"/>
    <w:semiHidden/>
    <w:unhideWhenUsed/>
    <w:rsid w:val="00F8365C"/>
    <w:rPr>
      <w:b/>
      <w:bCs/>
    </w:rPr>
  </w:style>
  <w:style w:type="character" w:customStyle="1" w:styleId="SoggettocommentoCarattere">
    <w:name w:val="Soggetto commento Carattere"/>
    <w:basedOn w:val="TestocommentoCarattere"/>
    <w:link w:val="Soggettocommento"/>
    <w:uiPriority w:val="99"/>
    <w:semiHidden/>
    <w:rsid w:val="00F8365C"/>
    <w:rPr>
      <w:b/>
      <w:bCs/>
      <w:sz w:val="20"/>
      <w:szCs w:val="20"/>
    </w:rPr>
  </w:style>
  <w:style w:type="character" w:styleId="Menzionenonrisolta">
    <w:name w:val="Unresolved Mention"/>
    <w:basedOn w:val="Carpredefinitoparagrafo"/>
    <w:uiPriority w:val="99"/>
    <w:semiHidden/>
    <w:unhideWhenUsed/>
    <w:rsid w:val="005E3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405">
      <w:bodyDiv w:val="1"/>
      <w:marLeft w:val="0"/>
      <w:marRight w:val="0"/>
      <w:marTop w:val="0"/>
      <w:marBottom w:val="0"/>
      <w:divBdr>
        <w:top w:val="none" w:sz="0" w:space="0" w:color="auto"/>
        <w:left w:val="none" w:sz="0" w:space="0" w:color="auto"/>
        <w:bottom w:val="none" w:sz="0" w:space="0" w:color="auto"/>
        <w:right w:val="none" w:sz="0" w:space="0" w:color="auto"/>
      </w:divBdr>
    </w:div>
    <w:div w:id="270939253">
      <w:bodyDiv w:val="1"/>
      <w:marLeft w:val="0"/>
      <w:marRight w:val="0"/>
      <w:marTop w:val="0"/>
      <w:marBottom w:val="0"/>
      <w:divBdr>
        <w:top w:val="none" w:sz="0" w:space="0" w:color="auto"/>
        <w:left w:val="none" w:sz="0" w:space="0" w:color="auto"/>
        <w:bottom w:val="none" w:sz="0" w:space="0" w:color="auto"/>
        <w:right w:val="none" w:sz="0" w:space="0" w:color="auto"/>
      </w:divBdr>
    </w:div>
    <w:div w:id="427041225">
      <w:bodyDiv w:val="1"/>
      <w:marLeft w:val="0"/>
      <w:marRight w:val="0"/>
      <w:marTop w:val="0"/>
      <w:marBottom w:val="0"/>
      <w:divBdr>
        <w:top w:val="none" w:sz="0" w:space="0" w:color="auto"/>
        <w:left w:val="none" w:sz="0" w:space="0" w:color="auto"/>
        <w:bottom w:val="none" w:sz="0" w:space="0" w:color="auto"/>
        <w:right w:val="none" w:sz="0" w:space="0" w:color="auto"/>
      </w:divBdr>
    </w:div>
    <w:div w:id="441531306">
      <w:bodyDiv w:val="1"/>
      <w:marLeft w:val="0"/>
      <w:marRight w:val="0"/>
      <w:marTop w:val="0"/>
      <w:marBottom w:val="0"/>
      <w:divBdr>
        <w:top w:val="none" w:sz="0" w:space="0" w:color="auto"/>
        <w:left w:val="none" w:sz="0" w:space="0" w:color="auto"/>
        <w:bottom w:val="none" w:sz="0" w:space="0" w:color="auto"/>
        <w:right w:val="none" w:sz="0" w:space="0" w:color="auto"/>
      </w:divBdr>
    </w:div>
    <w:div w:id="580482563">
      <w:bodyDiv w:val="1"/>
      <w:marLeft w:val="0"/>
      <w:marRight w:val="0"/>
      <w:marTop w:val="0"/>
      <w:marBottom w:val="0"/>
      <w:divBdr>
        <w:top w:val="none" w:sz="0" w:space="0" w:color="auto"/>
        <w:left w:val="none" w:sz="0" w:space="0" w:color="auto"/>
        <w:bottom w:val="none" w:sz="0" w:space="0" w:color="auto"/>
        <w:right w:val="none" w:sz="0" w:space="0" w:color="auto"/>
      </w:divBdr>
    </w:div>
    <w:div w:id="714501188">
      <w:bodyDiv w:val="1"/>
      <w:marLeft w:val="0"/>
      <w:marRight w:val="0"/>
      <w:marTop w:val="0"/>
      <w:marBottom w:val="0"/>
      <w:divBdr>
        <w:top w:val="none" w:sz="0" w:space="0" w:color="auto"/>
        <w:left w:val="none" w:sz="0" w:space="0" w:color="auto"/>
        <w:bottom w:val="none" w:sz="0" w:space="0" w:color="auto"/>
        <w:right w:val="none" w:sz="0" w:space="0" w:color="auto"/>
      </w:divBdr>
    </w:div>
    <w:div w:id="734161102">
      <w:bodyDiv w:val="1"/>
      <w:marLeft w:val="0"/>
      <w:marRight w:val="0"/>
      <w:marTop w:val="0"/>
      <w:marBottom w:val="0"/>
      <w:divBdr>
        <w:top w:val="none" w:sz="0" w:space="0" w:color="auto"/>
        <w:left w:val="none" w:sz="0" w:space="0" w:color="auto"/>
        <w:bottom w:val="none" w:sz="0" w:space="0" w:color="auto"/>
        <w:right w:val="none" w:sz="0" w:space="0" w:color="auto"/>
      </w:divBdr>
    </w:div>
    <w:div w:id="878123966">
      <w:bodyDiv w:val="1"/>
      <w:marLeft w:val="0"/>
      <w:marRight w:val="0"/>
      <w:marTop w:val="0"/>
      <w:marBottom w:val="0"/>
      <w:divBdr>
        <w:top w:val="none" w:sz="0" w:space="0" w:color="auto"/>
        <w:left w:val="none" w:sz="0" w:space="0" w:color="auto"/>
        <w:bottom w:val="none" w:sz="0" w:space="0" w:color="auto"/>
        <w:right w:val="none" w:sz="0" w:space="0" w:color="auto"/>
      </w:divBdr>
    </w:div>
    <w:div w:id="1018310550">
      <w:bodyDiv w:val="1"/>
      <w:marLeft w:val="0"/>
      <w:marRight w:val="0"/>
      <w:marTop w:val="0"/>
      <w:marBottom w:val="0"/>
      <w:divBdr>
        <w:top w:val="none" w:sz="0" w:space="0" w:color="auto"/>
        <w:left w:val="none" w:sz="0" w:space="0" w:color="auto"/>
        <w:bottom w:val="none" w:sz="0" w:space="0" w:color="auto"/>
        <w:right w:val="none" w:sz="0" w:space="0" w:color="auto"/>
      </w:divBdr>
    </w:div>
    <w:div w:id="1084111481">
      <w:bodyDiv w:val="1"/>
      <w:marLeft w:val="0"/>
      <w:marRight w:val="0"/>
      <w:marTop w:val="0"/>
      <w:marBottom w:val="0"/>
      <w:divBdr>
        <w:top w:val="none" w:sz="0" w:space="0" w:color="auto"/>
        <w:left w:val="none" w:sz="0" w:space="0" w:color="auto"/>
        <w:bottom w:val="none" w:sz="0" w:space="0" w:color="auto"/>
        <w:right w:val="none" w:sz="0" w:space="0" w:color="auto"/>
      </w:divBdr>
    </w:div>
    <w:div w:id="1122503898">
      <w:bodyDiv w:val="1"/>
      <w:marLeft w:val="0"/>
      <w:marRight w:val="0"/>
      <w:marTop w:val="0"/>
      <w:marBottom w:val="0"/>
      <w:divBdr>
        <w:top w:val="none" w:sz="0" w:space="0" w:color="auto"/>
        <w:left w:val="none" w:sz="0" w:space="0" w:color="auto"/>
        <w:bottom w:val="none" w:sz="0" w:space="0" w:color="auto"/>
        <w:right w:val="none" w:sz="0" w:space="0" w:color="auto"/>
      </w:divBdr>
    </w:div>
    <w:div w:id="1132019571">
      <w:bodyDiv w:val="1"/>
      <w:marLeft w:val="0"/>
      <w:marRight w:val="0"/>
      <w:marTop w:val="0"/>
      <w:marBottom w:val="0"/>
      <w:divBdr>
        <w:top w:val="none" w:sz="0" w:space="0" w:color="auto"/>
        <w:left w:val="none" w:sz="0" w:space="0" w:color="auto"/>
        <w:bottom w:val="none" w:sz="0" w:space="0" w:color="auto"/>
        <w:right w:val="none" w:sz="0" w:space="0" w:color="auto"/>
      </w:divBdr>
    </w:div>
    <w:div w:id="1258252502">
      <w:bodyDiv w:val="1"/>
      <w:marLeft w:val="0"/>
      <w:marRight w:val="0"/>
      <w:marTop w:val="0"/>
      <w:marBottom w:val="0"/>
      <w:divBdr>
        <w:top w:val="none" w:sz="0" w:space="0" w:color="auto"/>
        <w:left w:val="none" w:sz="0" w:space="0" w:color="auto"/>
        <w:bottom w:val="none" w:sz="0" w:space="0" w:color="auto"/>
        <w:right w:val="none" w:sz="0" w:space="0" w:color="auto"/>
      </w:divBdr>
    </w:div>
    <w:div w:id="1281498832">
      <w:bodyDiv w:val="1"/>
      <w:marLeft w:val="0"/>
      <w:marRight w:val="0"/>
      <w:marTop w:val="0"/>
      <w:marBottom w:val="0"/>
      <w:divBdr>
        <w:top w:val="none" w:sz="0" w:space="0" w:color="auto"/>
        <w:left w:val="none" w:sz="0" w:space="0" w:color="auto"/>
        <w:bottom w:val="none" w:sz="0" w:space="0" w:color="auto"/>
        <w:right w:val="none" w:sz="0" w:space="0" w:color="auto"/>
      </w:divBdr>
    </w:div>
    <w:div w:id="1315915658">
      <w:bodyDiv w:val="1"/>
      <w:marLeft w:val="0"/>
      <w:marRight w:val="0"/>
      <w:marTop w:val="0"/>
      <w:marBottom w:val="0"/>
      <w:divBdr>
        <w:top w:val="none" w:sz="0" w:space="0" w:color="auto"/>
        <w:left w:val="none" w:sz="0" w:space="0" w:color="auto"/>
        <w:bottom w:val="none" w:sz="0" w:space="0" w:color="auto"/>
        <w:right w:val="none" w:sz="0" w:space="0" w:color="auto"/>
      </w:divBdr>
    </w:div>
    <w:div w:id="1389380075">
      <w:bodyDiv w:val="1"/>
      <w:marLeft w:val="0"/>
      <w:marRight w:val="0"/>
      <w:marTop w:val="0"/>
      <w:marBottom w:val="0"/>
      <w:divBdr>
        <w:top w:val="none" w:sz="0" w:space="0" w:color="auto"/>
        <w:left w:val="none" w:sz="0" w:space="0" w:color="auto"/>
        <w:bottom w:val="none" w:sz="0" w:space="0" w:color="auto"/>
        <w:right w:val="none" w:sz="0" w:space="0" w:color="auto"/>
      </w:divBdr>
    </w:div>
    <w:div w:id="1546983739">
      <w:bodyDiv w:val="1"/>
      <w:marLeft w:val="0"/>
      <w:marRight w:val="0"/>
      <w:marTop w:val="0"/>
      <w:marBottom w:val="0"/>
      <w:divBdr>
        <w:top w:val="none" w:sz="0" w:space="0" w:color="auto"/>
        <w:left w:val="none" w:sz="0" w:space="0" w:color="auto"/>
        <w:bottom w:val="none" w:sz="0" w:space="0" w:color="auto"/>
        <w:right w:val="none" w:sz="0" w:space="0" w:color="auto"/>
      </w:divBdr>
    </w:div>
    <w:div w:id="1580946738">
      <w:bodyDiv w:val="1"/>
      <w:marLeft w:val="0"/>
      <w:marRight w:val="0"/>
      <w:marTop w:val="0"/>
      <w:marBottom w:val="0"/>
      <w:divBdr>
        <w:top w:val="none" w:sz="0" w:space="0" w:color="auto"/>
        <w:left w:val="none" w:sz="0" w:space="0" w:color="auto"/>
        <w:bottom w:val="none" w:sz="0" w:space="0" w:color="auto"/>
        <w:right w:val="none" w:sz="0" w:space="0" w:color="auto"/>
      </w:divBdr>
    </w:div>
    <w:div w:id="1597447311">
      <w:bodyDiv w:val="1"/>
      <w:marLeft w:val="0"/>
      <w:marRight w:val="0"/>
      <w:marTop w:val="0"/>
      <w:marBottom w:val="0"/>
      <w:divBdr>
        <w:top w:val="none" w:sz="0" w:space="0" w:color="auto"/>
        <w:left w:val="none" w:sz="0" w:space="0" w:color="auto"/>
        <w:bottom w:val="none" w:sz="0" w:space="0" w:color="auto"/>
        <w:right w:val="none" w:sz="0" w:space="0" w:color="auto"/>
      </w:divBdr>
    </w:div>
    <w:div w:id="1691447161">
      <w:bodyDiv w:val="1"/>
      <w:marLeft w:val="0"/>
      <w:marRight w:val="0"/>
      <w:marTop w:val="0"/>
      <w:marBottom w:val="0"/>
      <w:divBdr>
        <w:top w:val="none" w:sz="0" w:space="0" w:color="auto"/>
        <w:left w:val="none" w:sz="0" w:space="0" w:color="auto"/>
        <w:bottom w:val="none" w:sz="0" w:space="0" w:color="auto"/>
        <w:right w:val="none" w:sz="0" w:space="0" w:color="auto"/>
      </w:divBdr>
    </w:div>
    <w:div w:id="1738747521">
      <w:bodyDiv w:val="1"/>
      <w:marLeft w:val="0"/>
      <w:marRight w:val="0"/>
      <w:marTop w:val="0"/>
      <w:marBottom w:val="0"/>
      <w:divBdr>
        <w:top w:val="none" w:sz="0" w:space="0" w:color="auto"/>
        <w:left w:val="none" w:sz="0" w:space="0" w:color="auto"/>
        <w:bottom w:val="none" w:sz="0" w:space="0" w:color="auto"/>
        <w:right w:val="none" w:sz="0" w:space="0" w:color="auto"/>
      </w:divBdr>
    </w:div>
    <w:div w:id="1844926996">
      <w:bodyDiv w:val="1"/>
      <w:marLeft w:val="0"/>
      <w:marRight w:val="0"/>
      <w:marTop w:val="0"/>
      <w:marBottom w:val="0"/>
      <w:divBdr>
        <w:top w:val="none" w:sz="0" w:space="0" w:color="auto"/>
        <w:left w:val="none" w:sz="0" w:space="0" w:color="auto"/>
        <w:bottom w:val="none" w:sz="0" w:space="0" w:color="auto"/>
        <w:right w:val="none" w:sz="0" w:space="0" w:color="auto"/>
      </w:divBdr>
    </w:div>
    <w:div w:id="1925991514">
      <w:bodyDiv w:val="1"/>
      <w:marLeft w:val="0"/>
      <w:marRight w:val="0"/>
      <w:marTop w:val="0"/>
      <w:marBottom w:val="0"/>
      <w:divBdr>
        <w:top w:val="none" w:sz="0" w:space="0" w:color="auto"/>
        <w:left w:val="none" w:sz="0" w:space="0" w:color="auto"/>
        <w:bottom w:val="none" w:sz="0" w:space="0" w:color="auto"/>
        <w:right w:val="none" w:sz="0" w:space="0" w:color="auto"/>
      </w:divBdr>
    </w:div>
    <w:div w:id="21305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site/upload/docs/application/pdf/2025-09/ra_it_statistiques_24_-b_statistiques-cour.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C9EAD-D2A4-804D-B7FB-A66090EC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22</Pages>
  <Words>8458</Words>
  <Characters>48212</Characters>
  <Application>Microsoft Office Word</Application>
  <DocSecurity>0</DocSecurity>
  <Lines>401</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Scaccia Gino</dc:creator>
  <cp:keywords/>
  <dc:description/>
  <cp:lastModifiedBy>Scaccia Gino</cp:lastModifiedBy>
  <cp:revision>195</cp:revision>
  <cp:lastPrinted>2026-02-05T14:24:00Z</cp:lastPrinted>
  <dcterms:created xsi:type="dcterms:W3CDTF">2026-02-05T10:18:00Z</dcterms:created>
  <dcterms:modified xsi:type="dcterms:W3CDTF">2026-02-05T15:31:00Z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2025-10-24T10:48:04Z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6fef191e-2808-498c-b6aa-95789edfbe12</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